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5493B" w14:textId="77777777" w:rsidR="0058084F" w:rsidRDefault="007B5224">
      <w:pPr>
        <w:ind w:left="1" w:right="-285" w:hanging="3"/>
        <w:jc w:val="center"/>
        <w:rPr>
          <w:b/>
          <w:sz w:val="32"/>
          <w:szCs w:val="32"/>
        </w:rPr>
      </w:pPr>
      <w:r>
        <w:rPr>
          <w:b/>
          <w:sz w:val="32"/>
          <w:szCs w:val="32"/>
        </w:rPr>
        <w:t>Los afectados por el cripto-</w:t>
      </w:r>
      <w:proofErr w:type="spellStart"/>
      <w:r>
        <w:rPr>
          <w:b/>
          <w:sz w:val="32"/>
          <w:szCs w:val="32"/>
        </w:rPr>
        <w:t>crash</w:t>
      </w:r>
      <w:proofErr w:type="spellEnd"/>
      <w:r>
        <w:rPr>
          <w:b/>
          <w:sz w:val="32"/>
          <w:szCs w:val="32"/>
        </w:rPr>
        <w:t xml:space="preserve"> estarán obligados a presentar sus pérdidas en la campaña de la renta de 2022</w:t>
      </w:r>
    </w:p>
    <w:p w14:paraId="1FA75765" w14:textId="77777777" w:rsidR="0058084F" w:rsidRDefault="0058084F">
      <w:pPr>
        <w:ind w:left="1" w:right="-285" w:hanging="3"/>
        <w:jc w:val="center"/>
        <w:rPr>
          <w:b/>
          <w:sz w:val="32"/>
          <w:szCs w:val="32"/>
        </w:rPr>
      </w:pPr>
    </w:p>
    <w:p w14:paraId="71D073F0" w14:textId="77777777" w:rsidR="0058084F" w:rsidRPr="00A32F65" w:rsidRDefault="007B5224" w:rsidP="00A32F65">
      <w:pPr>
        <w:pStyle w:val="Prrafodelista"/>
        <w:numPr>
          <w:ilvl w:val="0"/>
          <w:numId w:val="2"/>
        </w:numPr>
        <w:pBdr>
          <w:top w:val="nil"/>
          <w:left w:val="nil"/>
          <w:bottom w:val="nil"/>
          <w:right w:val="nil"/>
          <w:between w:val="nil"/>
        </w:pBdr>
        <w:spacing w:line="240" w:lineRule="auto"/>
        <w:ind w:leftChars="0" w:right="282" w:firstLineChars="0"/>
        <w:jc w:val="both"/>
        <w:rPr>
          <w:b/>
          <w:color w:val="00000A"/>
        </w:rPr>
      </w:pPr>
      <w:r w:rsidRPr="00A32F65">
        <w:rPr>
          <w:b/>
        </w:rPr>
        <w:t>Con el cierre de esta campaña, Hacienda activará una avalancha de inspecciones para localizar irregularidades en las declaraciones de los inversores de divisas virtuales</w:t>
      </w:r>
    </w:p>
    <w:p w14:paraId="64FCAB82" w14:textId="77777777" w:rsidR="0058084F" w:rsidRDefault="0058084F" w:rsidP="00A32F65">
      <w:pPr>
        <w:pBdr>
          <w:top w:val="nil"/>
          <w:left w:val="nil"/>
          <w:bottom w:val="nil"/>
          <w:right w:val="nil"/>
          <w:between w:val="nil"/>
        </w:pBdr>
        <w:spacing w:line="240" w:lineRule="auto"/>
        <w:ind w:leftChars="0" w:left="-2" w:right="282" w:firstLineChars="0" w:firstLine="0"/>
        <w:jc w:val="both"/>
        <w:rPr>
          <w:b/>
        </w:rPr>
      </w:pPr>
    </w:p>
    <w:p w14:paraId="4C4C74AA" w14:textId="65922B5A" w:rsidR="0058084F" w:rsidRPr="00A32F65" w:rsidRDefault="007B5224" w:rsidP="00A32F65">
      <w:pPr>
        <w:pStyle w:val="Prrafodelista"/>
        <w:numPr>
          <w:ilvl w:val="0"/>
          <w:numId w:val="2"/>
        </w:numPr>
        <w:ind w:leftChars="0" w:right="282" w:firstLineChars="0"/>
        <w:jc w:val="both"/>
        <w:rPr>
          <w:b/>
          <w:color w:val="00000A"/>
        </w:rPr>
      </w:pPr>
      <w:r w:rsidRPr="00A32F65">
        <w:rPr>
          <w:b/>
          <w:color w:val="00000A"/>
        </w:rPr>
        <w:t>Desde TaxDown avisan de que solo un 4% de las declaraciones presentadas por la plataforma incluyen criptomonedas</w:t>
      </w:r>
    </w:p>
    <w:p w14:paraId="2C2480D1" w14:textId="77777777" w:rsidR="0058084F" w:rsidRDefault="0058084F" w:rsidP="00A32F65">
      <w:pPr>
        <w:pBdr>
          <w:top w:val="nil"/>
          <w:left w:val="nil"/>
          <w:bottom w:val="nil"/>
          <w:right w:val="nil"/>
          <w:between w:val="nil"/>
        </w:pBdr>
        <w:spacing w:line="240" w:lineRule="auto"/>
        <w:ind w:leftChars="0" w:left="-2" w:right="282" w:firstLineChars="0" w:firstLine="0"/>
        <w:jc w:val="both"/>
        <w:rPr>
          <w:b/>
          <w:color w:val="00000A"/>
        </w:rPr>
      </w:pPr>
    </w:p>
    <w:p w14:paraId="0F6E8A5A" w14:textId="77777777" w:rsidR="0058084F" w:rsidRPr="00A32F65" w:rsidRDefault="007B5224" w:rsidP="00A32F65">
      <w:pPr>
        <w:pStyle w:val="Prrafodelista"/>
        <w:numPr>
          <w:ilvl w:val="0"/>
          <w:numId w:val="2"/>
        </w:numPr>
        <w:pBdr>
          <w:top w:val="nil"/>
          <w:left w:val="nil"/>
          <w:bottom w:val="nil"/>
          <w:right w:val="nil"/>
          <w:between w:val="nil"/>
        </w:pBdr>
        <w:spacing w:line="240" w:lineRule="auto"/>
        <w:ind w:leftChars="0" w:right="282" w:firstLineChars="0"/>
        <w:jc w:val="both"/>
        <w:rPr>
          <w:b/>
          <w:color w:val="00000A"/>
        </w:rPr>
      </w:pPr>
      <w:r w:rsidRPr="00A32F65">
        <w:rPr>
          <w:b/>
          <w:color w:val="00000A"/>
        </w:rPr>
        <w:t xml:space="preserve">La Agencia Tributaria ultima una nueva regulación para este tipo de monedas que obligará a empresas y a particulares a presentar anualmente modelos informativos sobre </w:t>
      </w:r>
      <w:proofErr w:type="spellStart"/>
      <w:r w:rsidRPr="00A32F65">
        <w:rPr>
          <w:b/>
          <w:color w:val="00000A"/>
        </w:rPr>
        <w:t>criptos</w:t>
      </w:r>
      <w:proofErr w:type="spellEnd"/>
      <w:r w:rsidRPr="00A32F65">
        <w:rPr>
          <w:b/>
          <w:color w:val="00000A"/>
        </w:rPr>
        <w:t xml:space="preserve"> que administren tanto en nuestro país como en el extranjero</w:t>
      </w:r>
    </w:p>
    <w:p w14:paraId="1EBE498F" w14:textId="77777777" w:rsidR="0058084F" w:rsidRDefault="0058084F">
      <w:pPr>
        <w:pBdr>
          <w:top w:val="nil"/>
          <w:left w:val="nil"/>
          <w:bottom w:val="nil"/>
          <w:right w:val="nil"/>
          <w:between w:val="nil"/>
        </w:pBdr>
        <w:spacing w:line="240" w:lineRule="auto"/>
        <w:ind w:left="0" w:right="282" w:hanging="2"/>
        <w:rPr>
          <w:color w:val="000000"/>
        </w:rPr>
      </w:pPr>
    </w:p>
    <w:p w14:paraId="1EF5CC88" w14:textId="77777777" w:rsidR="00E773D1" w:rsidRDefault="00E773D1">
      <w:pPr>
        <w:pBdr>
          <w:top w:val="nil"/>
          <w:left w:val="nil"/>
          <w:bottom w:val="nil"/>
          <w:right w:val="nil"/>
          <w:between w:val="nil"/>
        </w:pBdr>
        <w:spacing w:line="240" w:lineRule="auto"/>
        <w:ind w:left="0" w:right="282" w:hanging="2"/>
        <w:rPr>
          <w:color w:val="000000"/>
        </w:rPr>
      </w:pPr>
    </w:p>
    <w:p w14:paraId="0518A288" w14:textId="006DD52B" w:rsidR="0058084F" w:rsidRDefault="007B5224">
      <w:pPr>
        <w:ind w:left="0" w:hanging="2"/>
        <w:jc w:val="both"/>
      </w:pPr>
      <w:r>
        <w:rPr>
          <w:b/>
        </w:rPr>
        <w:t xml:space="preserve">Madrid, 22 de junio de </w:t>
      </w:r>
      <w:r>
        <w:rPr>
          <w:b/>
          <w:color w:val="00000A"/>
        </w:rPr>
        <w:t>2022</w:t>
      </w:r>
      <w:r>
        <w:t xml:space="preserve"> – Las criptomonedas encaran unas de sus semanas más negras. En lo que llevamos de año, el Bitcoin ha perdido la mitad de su valor, mientras que el proyecto </w:t>
      </w:r>
      <w:proofErr w:type="spellStart"/>
      <w:r>
        <w:t>blockchain</w:t>
      </w:r>
      <w:proofErr w:type="spellEnd"/>
      <w:r>
        <w:t xml:space="preserve"> LUNA ha caído en más de un 99 %. En consecuencia, muchos inversores están optando por deshacerse de sus divisas virtuales, aunque no recuperen el capital. Sin embargo, </w:t>
      </w:r>
      <w:r>
        <w:rPr>
          <w:b/>
        </w:rPr>
        <w:t xml:space="preserve">aquellos contribuyentes que apuesten por esta vía tendrán que declarar estos movimientos en la próxima campaña de declaración de la renta de 2022, aunque pierdan dinero, según confirman los expertos fiscales de </w:t>
      </w:r>
      <w:hyperlink r:id="rId11">
        <w:r>
          <w:rPr>
            <w:b/>
            <w:color w:val="1155CC"/>
            <w:u w:val="single"/>
          </w:rPr>
          <w:t>TaxDown</w:t>
        </w:r>
      </w:hyperlink>
      <w:r>
        <w:t>.</w:t>
      </w:r>
      <w:r w:rsidR="00CA3570">
        <w:t xml:space="preserve"> Lo bueno de reportar estas pérdidas es que </w:t>
      </w:r>
      <w:r w:rsidR="005777D4">
        <w:t>les ayudarán a compensar sus ganancias y así mejorar el resultado final, no solo en el año en curso sino en los cuatro años posteriores. Por lo que en todos los casos merece la pena presentar las pérdidas</w:t>
      </w:r>
      <w:r w:rsidR="001E793B">
        <w:t>.</w:t>
      </w:r>
    </w:p>
    <w:p w14:paraId="1D1FFBFF" w14:textId="77777777" w:rsidR="0058084F" w:rsidRDefault="0058084F">
      <w:pPr>
        <w:ind w:left="0" w:hanging="2"/>
        <w:jc w:val="both"/>
      </w:pPr>
    </w:p>
    <w:p w14:paraId="6F132F24" w14:textId="421CCA85" w:rsidR="0058084F" w:rsidRDefault="00066BFB">
      <w:pPr>
        <w:ind w:left="0" w:hanging="2"/>
        <w:jc w:val="both"/>
      </w:pPr>
      <w:r>
        <w:t xml:space="preserve">Por otro lado, Hacienda ya ha puesto la lupa en las criptomonedas en esta campaña. </w:t>
      </w:r>
      <w:r>
        <w:rPr>
          <w:b/>
        </w:rPr>
        <w:t>El número de avisos que ha enviado la Agencia Tributaria ha sido de 233.000, es decir, un 1.474% más que el año anterior,</w:t>
      </w:r>
      <w:r>
        <w:t xml:space="preserve"> cuando solo se trasladaron 14.800 notificaciones. A pesar de este aumento en el número de alertas, </w:t>
      </w:r>
      <w:r>
        <w:rPr>
          <w:b/>
        </w:rPr>
        <w:t>solo se han enviado al 3,33% de los inversores en este tipo de monedas</w:t>
      </w:r>
      <w:r>
        <w:t xml:space="preserve">, de acuerdo al último estudio realizado por TaxDown. Asimismo, gracias a todos los datos obtenidos en esta campaña, </w:t>
      </w:r>
      <w:r>
        <w:rPr>
          <w:b/>
        </w:rPr>
        <w:t>el organismo público se lanzará a hacer inspecciones para deslumbrar posibles errores o irregularidades</w:t>
      </w:r>
      <w:r>
        <w:t xml:space="preserve">. </w:t>
      </w:r>
    </w:p>
    <w:p w14:paraId="4E04592F" w14:textId="77777777" w:rsidR="0058084F" w:rsidRDefault="0058084F">
      <w:pPr>
        <w:ind w:left="0" w:hanging="2"/>
        <w:jc w:val="both"/>
      </w:pPr>
    </w:p>
    <w:p w14:paraId="17DE4980" w14:textId="6673A20A" w:rsidR="0058084F" w:rsidRDefault="007B5224">
      <w:pPr>
        <w:ind w:left="0" w:hanging="2"/>
        <w:jc w:val="both"/>
      </w:pPr>
      <w:r>
        <w:t xml:space="preserve">Para no recibir ningún tipo de carta por parte de Hacienda, los inversores de </w:t>
      </w:r>
      <w:proofErr w:type="spellStart"/>
      <w:r>
        <w:t>criptos</w:t>
      </w:r>
      <w:proofErr w:type="spellEnd"/>
      <w:r>
        <w:t xml:space="preserve"> que hayan vendido el año pasado tienen una semana para incluir estos movimientos en su IRPF. De acuerdo a los datos recogidos por </w:t>
      </w:r>
      <w:r>
        <w:rPr>
          <w:b/>
        </w:rPr>
        <w:t xml:space="preserve">TaxDown, los inversores de criptomonedas están siendo los más rezagados a la hora de presentar su IRPF, ya que solo un 4% de las declaraciones presentadas por la plataforma incluían </w:t>
      </w:r>
      <w:proofErr w:type="spellStart"/>
      <w:r>
        <w:rPr>
          <w:b/>
        </w:rPr>
        <w:t>criptos</w:t>
      </w:r>
      <w:proofErr w:type="spellEnd"/>
      <w:r>
        <w:rPr>
          <w:b/>
        </w:rPr>
        <w:t>.</w:t>
      </w:r>
      <w:r>
        <w:t xml:space="preserve"> Mientras que, según el 'III Informe sobre conocimiento y hábitos de </w:t>
      </w:r>
      <w:proofErr w:type="spellStart"/>
      <w:r>
        <w:t>fintech</w:t>
      </w:r>
      <w:proofErr w:type="spellEnd"/>
      <w:r>
        <w:t xml:space="preserve">' de </w:t>
      </w:r>
      <w:hyperlink r:id="rId12">
        <w:proofErr w:type="spellStart"/>
        <w:r>
          <w:rPr>
            <w:color w:val="1155CC"/>
            <w:u w:val="single"/>
          </w:rPr>
          <w:t>Asufin</w:t>
        </w:r>
        <w:proofErr w:type="spellEnd"/>
      </w:hyperlink>
      <w:r>
        <w:t>, el número de personas con en este tipo de divisas superan los 4,4 millones, es decir, el 24 % del número total de contribuyentes</w:t>
      </w:r>
    </w:p>
    <w:p w14:paraId="45B67CC8" w14:textId="77777777" w:rsidR="0058084F" w:rsidRDefault="0058084F">
      <w:pPr>
        <w:ind w:left="0" w:hanging="2"/>
        <w:jc w:val="both"/>
      </w:pPr>
    </w:p>
    <w:p w14:paraId="04DDD0DD" w14:textId="77777777" w:rsidR="0058084F" w:rsidRDefault="007B5224">
      <w:pPr>
        <w:ind w:left="0" w:hanging="2"/>
        <w:jc w:val="both"/>
        <w:rPr>
          <w:b/>
        </w:rPr>
      </w:pPr>
      <w:r>
        <w:rPr>
          <w:b/>
        </w:rPr>
        <w:t>La declaración de las criptomonedas se complicará el próximo año</w:t>
      </w:r>
    </w:p>
    <w:p w14:paraId="4CA25758" w14:textId="77777777" w:rsidR="0058084F" w:rsidRDefault="0058084F">
      <w:pPr>
        <w:ind w:left="0" w:hanging="2"/>
        <w:jc w:val="both"/>
        <w:rPr>
          <w:b/>
        </w:rPr>
      </w:pPr>
    </w:p>
    <w:p w14:paraId="0AFDB97E" w14:textId="77777777" w:rsidR="0058084F" w:rsidRDefault="007B5224">
      <w:pPr>
        <w:ind w:left="0" w:hanging="2"/>
        <w:jc w:val="both"/>
      </w:pPr>
      <w:r>
        <w:t xml:space="preserve">Las criptomonedas se han estrenado este año en la declaración con una nueva casilla, convirtiéndose en una de las grandes novedades de este año. Sin embargo, el próximo año la forma en la que se declararán estas divisas virtuales volverá a cambiar. La Agencia Tributaria está ultimando una nueva regulación que actualmente está sometida a audiencia pública, es decir, que está abierta a recibir </w:t>
      </w:r>
      <w:r>
        <w:lastRenderedPageBreak/>
        <w:t>alegaciones y propuestas hasta el próximo 8 de julio. Con ella,</w:t>
      </w:r>
      <w:r>
        <w:rPr>
          <w:b/>
        </w:rPr>
        <w:t xml:space="preserve"> el organismo público obligará a personas físicas y jurídicas de servicios de </w:t>
      </w:r>
      <w:proofErr w:type="spellStart"/>
      <w:r>
        <w:rPr>
          <w:b/>
        </w:rPr>
        <w:t>criptos</w:t>
      </w:r>
      <w:proofErr w:type="spellEnd"/>
      <w:r>
        <w:rPr>
          <w:b/>
        </w:rPr>
        <w:t xml:space="preserve"> a presentar anualmente</w:t>
      </w:r>
      <w:r>
        <w:t xml:space="preserve"> </w:t>
      </w:r>
      <w:r>
        <w:rPr>
          <w:b/>
        </w:rPr>
        <w:t>modelos informativos sobre las monedas virtuales que administren tanto en nuestro país como en el extranjero</w:t>
      </w:r>
      <w:r>
        <w:t>.</w:t>
      </w:r>
    </w:p>
    <w:p w14:paraId="42C1C72D" w14:textId="77777777" w:rsidR="0058084F" w:rsidRDefault="0058084F">
      <w:pPr>
        <w:ind w:left="0" w:hanging="2"/>
        <w:jc w:val="both"/>
      </w:pPr>
    </w:p>
    <w:p w14:paraId="1F02F03A" w14:textId="77777777" w:rsidR="0058084F" w:rsidRDefault="007B5224">
      <w:pPr>
        <w:ind w:left="0" w:hanging="2"/>
        <w:jc w:val="both"/>
      </w:pPr>
      <w:r>
        <w:t>“</w:t>
      </w:r>
      <w:r>
        <w:rPr>
          <w:i/>
        </w:rPr>
        <w:t>Los organismos públicos aún están contemplado cómo enfrentarse a las criptomonedas y cuál es la forma más efectiva de declarar este tipo de divisas, por ello, todo apunta a que en los próximos años los cambios en cómo declarar estas monedas virtuales serán constantes</w:t>
      </w:r>
      <w:r>
        <w:t xml:space="preserve">” afirma Enrique García, CEO y </w:t>
      </w:r>
      <w:proofErr w:type="spellStart"/>
      <w:r>
        <w:t>co</w:t>
      </w:r>
      <w:proofErr w:type="spellEnd"/>
      <w:r>
        <w:t>-fundador de TaxDown, y añade que “</w:t>
      </w:r>
      <w:r>
        <w:rPr>
          <w:i/>
        </w:rPr>
        <w:t>A pesar de ello, el algoritmo de TaxDown se ha posicionado como una de las formas más eficaces de presentar este tipo de monedas en el IRPF y con un sistema mucho más simplificado</w:t>
      </w:r>
      <w:r>
        <w:t xml:space="preserve">”. </w:t>
      </w:r>
    </w:p>
    <w:p w14:paraId="4EC6A39B" w14:textId="77777777" w:rsidR="0058084F" w:rsidRDefault="0058084F">
      <w:pPr>
        <w:ind w:left="0" w:hanging="2"/>
        <w:jc w:val="both"/>
      </w:pPr>
    </w:p>
    <w:p w14:paraId="5EC50CC3" w14:textId="2DBD64FD" w:rsidR="337F56FE" w:rsidRDefault="337F56FE" w:rsidP="337F56FE">
      <w:pPr>
        <w:ind w:left="0" w:hanging="2"/>
        <w:jc w:val="both"/>
      </w:pPr>
    </w:p>
    <w:p w14:paraId="5DC6D455" w14:textId="07DCCDC8" w:rsidR="337F56FE" w:rsidRDefault="337F56FE" w:rsidP="337F56FE">
      <w:pPr>
        <w:ind w:left="0" w:hanging="2"/>
        <w:jc w:val="both"/>
      </w:pPr>
      <w:r>
        <w:t xml:space="preserve">Más información sobre monedas virtuales en la AEAT:   </w:t>
      </w:r>
    </w:p>
    <w:p w14:paraId="171A834A" w14:textId="39BB1670" w:rsidR="337F56FE" w:rsidRDefault="00B0215F" w:rsidP="337F56FE">
      <w:pPr>
        <w:ind w:left="0" w:hanging="2"/>
        <w:jc w:val="both"/>
      </w:pPr>
      <w:hyperlink r:id="rId13">
        <w:r w:rsidR="337F56FE" w:rsidRPr="337F56FE">
          <w:rPr>
            <w:rStyle w:val="Hipervnculo"/>
          </w:rPr>
          <w:t>https://sede.agenciatributaria.gob.es/Sede/ayuda/manuales-videos-folletos/manuales-practicos/irpf-2021/capitulo-11-ganancias-perdidas-patrimoniales/monedas-virtuales/compra-venta-monedas-virtuales-tributacion-inversor.html</w:t>
        </w:r>
      </w:hyperlink>
      <w:r w:rsidR="337F56FE">
        <w:t xml:space="preserve"> </w:t>
      </w:r>
    </w:p>
    <w:p w14:paraId="357F568A" w14:textId="77777777" w:rsidR="0058084F" w:rsidRDefault="0058084F">
      <w:pPr>
        <w:ind w:left="0" w:hanging="2"/>
        <w:jc w:val="both"/>
      </w:pPr>
    </w:p>
    <w:p w14:paraId="4F54AE4F" w14:textId="70E4EE50" w:rsidR="337F56FE" w:rsidRDefault="337F56FE" w:rsidP="337F56FE">
      <w:pPr>
        <w:ind w:left="0" w:hanging="2"/>
        <w:jc w:val="both"/>
      </w:pPr>
    </w:p>
    <w:p w14:paraId="7127AED1" w14:textId="77777777" w:rsidR="0058084F" w:rsidRDefault="007B5224">
      <w:pPr>
        <w:ind w:left="0" w:hanging="2"/>
        <w:rPr>
          <w:color w:val="999999"/>
        </w:rPr>
      </w:pPr>
      <w:r>
        <w:rPr>
          <w:b/>
          <w:i/>
          <w:color w:val="999999"/>
        </w:rPr>
        <w:t>Sobre TaxDown</w:t>
      </w:r>
    </w:p>
    <w:p w14:paraId="1A6A7B18" w14:textId="77777777" w:rsidR="0058084F" w:rsidRDefault="0058084F">
      <w:pPr>
        <w:ind w:left="0" w:hanging="2"/>
        <w:rPr>
          <w:color w:val="999999"/>
          <w:u w:val="single"/>
        </w:rPr>
      </w:pPr>
    </w:p>
    <w:p w14:paraId="0201023E" w14:textId="77777777" w:rsidR="0058084F" w:rsidRDefault="007B5224">
      <w:pPr>
        <w:spacing w:after="140"/>
        <w:ind w:left="0" w:hanging="2"/>
        <w:jc w:val="both"/>
        <w:rPr>
          <w:i/>
        </w:rPr>
      </w:pPr>
      <w:r>
        <w:rPr>
          <w:i/>
        </w:rPr>
        <w:t>TaxDown es la alternativa inteligente para la renta. Somos una compañía española que ha revolucionado la asesoría fiscal, poniendo en el mercado un servicio digital pionero que permite realizar la declaración de la renta, de forma sencilla, garantizando al contribuyente el mejor resultado.</w:t>
      </w:r>
    </w:p>
    <w:p w14:paraId="7BBFB2AD" w14:textId="77777777" w:rsidR="0058084F" w:rsidRDefault="007B5224">
      <w:pPr>
        <w:spacing w:after="140"/>
        <w:ind w:left="0" w:hanging="2"/>
        <w:jc w:val="both"/>
        <w:rPr>
          <w:rFonts w:ascii="Arial" w:eastAsia="Arial" w:hAnsi="Arial" w:cs="Arial"/>
          <w:b/>
          <w:sz w:val="20"/>
          <w:szCs w:val="20"/>
        </w:rPr>
      </w:pPr>
      <w:r>
        <w:rPr>
          <w:i/>
        </w:rPr>
        <w:t>En TaxDown presentamos cientos de miles de declaraciones bien hechas cada año a través de nuestra propia plataforma, ahorramos más de 17 millones de euros durante nuestra última campaña, de manera oficial, ya que somos colaboradores de la Agencia Tributaria.</w:t>
      </w:r>
    </w:p>
    <w:p w14:paraId="043692DC" w14:textId="77777777" w:rsidR="0058084F" w:rsidRDefault="0058084F">
      <w:pPr>
        <w:ind w:left="0" w:hanging="2"/>
        <w:jc w:val="both"/>
      </w:pPr>
    </w:p>
    <w:p w14:paraId="3CACBDA4" w14:textId="77777777" w:rsidR="0058084F" w:rsidRDefault="0058084F">
      <w:pPr>
        <w:ind w:left="0" w:hanging="2"/>
        <w:jc w:val="both"/>
      </w:pPr>
    </w:p>
    <w:p w14:paraId="49F40D80" w14:textId="77777777" w:rsidR="0058084F" w:rsidRDefault="007B5224">
      <w:pPr>
        <w:ind w:left="0" w:hanging="2"/>
        <w:jc w:val="center"/>
        <w:rPr>
          <w:b/>
        </w:rPr>
      </w:pPr>
      <w:r>
        <w:rPr>
          <w:b/>
        </w:rPr>
        <w:t>Para más información o solicitud de entrevistas:</w:t>
      </w:r>
    </w:p>
    <w:p w14:paraId="32B6C7EF" w14:textId="77777777" w:rsidR="0058084F" w:rsidRDefault="007B5224">
      <w:pPr>
        <w:ind w:left="0" w:hanging="2"/>
        <w:jc w:val="center"/>
      </w:pPr>
      <w:r>
        <w:rPr>
          <w:b/>
        </w:rPr>
        <w:t xml:space="preserve">MARCO - </w:t>
      </w:r>
      <w:proofErr w:type="spellStart"/>
      <w:r>
        <w:rPr>
          <w:b/>
        </w:rPr>
        <w:t>taxdown@marco.agency</w:t>
      </w:r>
      <w:proofErr w:type="spellEnd"/>
    </w:p>
    <w:p w14:paraId="2920ECE6" w14:textId="77777777" w:rsidR="0058084F" w:rsidRDefault="007B5224">
      <w:pPr>
        <w:ind w:left="0" w:hanging="2"/>
        <w:jc w:val="center"/>
      </w:pPr>
      <w:r>
        <w:t>Aarón Rey - 646 065 903</w:t>
      </w:r>
    </w:p>
    <w:p w14:paraId="6F2CFB8F" w14:textId="77777777" w:rsidR="0058084F" w:rsidRDefault="007B5224">
      <w:pPr>
        <w:ind w:left="0" w:hanging="2"/>
        <w:jc w:val="center"/>
      </w:pPr>
      <w:proofErr w:type="spellStart"/>
      <w:r>
        <w:t>Danney</w:t>
      </w:r>
      <w:proofErr w:type="spellEnd"/>
      <w:r>
        <w:t xml:space="preserve"> Guzmán - 681 035 139</w:t>
      </w:r>
    </w:p>
    <w:p w14:paraId="2BBB8C25" w14:textId="77777777" w:rsidR="0058084F" w:rsidRDefault="007B5224">
      <w:pPr>
        <w:ind w:left="0" w:hanging="2"/>
        <w:jc w:val="center"/>
      </w:pPr>
      <w:r>
        <w:t>Beatriz Olmos - 690 679 922</w:t>
      </w:r>
    </w:p>
    <w:p w14:paraId="54FC3032" w14:textId="77777777" w:rsidR="0058084F" w:rsidRDefault="0058084F">
      <w:pPr>
        <w:ind w:left="0" w:hanging="2"/>
      </w:pPr>
    </w:p>
    <w:p w14:paraId="69D1D650" w14:textId="77777777" w:rsidR="0058084F" w:rsidRDefault="007B5224">
      <w:pPr>
        <w:ind w:left="0" w:hanging="2"/>
        <w:jc w:val="center"/>
        <w:rPr>
          <w:color w:val="70AD47"/>
          <w:sz w:val="24"/>
          <w:szCs w:val="24"/>
        </w:rPr>
      </w:pPr>
      <w:r>
        <w:rPr>
          <w:color w:val="70AD47"/>
          <w:sz w:val="24"/>
          <w:szCs w:val="24"/>
        </w:rPr>
        <w:t># # #</w:t>
      </w:r>
    </w:p>
    <w:p w14:paraId="3217A756" w14:textId="77777777" w:rsidR="0058084F" w:rsidRDefault="0058084F">
      <w:pPr>
        <w:ind w:left="0" w:hanging="2"/>
        <w:jc w:val="center"/>
        <w:rPr>
          <w:color w:val="70AD47"/>
          <w:sz w:val="24"/>
          <w:szCs w:val="24"/>
        </w:rPr>
      </w:pPr>
    </w:p>
    <w:p w14:paraId="507B53C6" w14:textId="77777777" w:rsidR="0058084F" w:rsidRDefault="007B5224">
      <w:pPr>
        <w:ind w:left="0" w:hanging="2"/>
        <w:jc w:val="center"/>
      </w:pPr>
      <w:r>
        <w:t>Esther Maroto</w:t>
      </w:r>
    </w:p>
    <w:p w14:paraId="2649C25A" w14:textId="77777777" w:rsidR="0058084F" w:rsidRDefault="00B0215F">
      <w:pPr>
        <w:ind w:left="0" w:hanging="2"/>
        <w:jc w:val="center"/>
      </w:pPr>
      <w:hyperlink r:id="rId14">
        <w:r w:rsidR="007B5224">
          <w:rPr>
            <w:color w:val="0563C1"/>
            <w:u w:val="single"/>
          </w:rPr>
          <w:t>esther@taxdown.es</w:t>
        </w:r>
      </w:hyperlink>
    </w:p>
    <w:p w14:paraId="76B1ADFD" w14:textId="77777777" w:rsidR="0058084F" w:rsidRDefault="007B5224">
      <w:pPr>
        <w:ind w:left="0" w:hanging="2"/>
        <w:jc w:val="center"/>
        <w:rPr>
          <w:rFonts w:ascii="Arial" w:eastAsia="Arial" w:hAnsi="Arial" w:cs="Arial"/>
          <w:b/>
          <w:sz w:val="20"/>
          <w:szCs w:val="20"/>
        </w:rPr>
      </w:pPr>
      <w:r>
        <w:t>678 341 700</w:t>
      </w:r>
    </w:p>
    <w:p w14:paraId="196CC510" w14:textId="77777777" w:rsidR="0058084F" w:rsidRDefault="0058084F">
      <w:pPr>
        <w:ind w:left="0" w:hanging="2"/>
        <w:rPr>
          <w:rFonts w:ascii="Arial" w:eastAsia="Arial" w:hAnsi="Arial" w:cs="Arial"/>
          <w:sz w:val="20"/>
          <w:szCs w:val="20"/>
        </w:rPr>
      </w:pPr>
    </w:p>
    <w:p w14:paraId="7CD0BDEB" w14:textId="77777777" w:rsidR="0058084F" w:rsidRDefault="0058084F">
      <w:pPr>
        <w:ind w:left="0" w:hanging="2"/>
        <w:rPr>
          <w:rFonts w:ascii="Arial" w:eastAsia="Arial" w:hAnsi="Arial" w:cs="Arial"/>
          <w:sz w:val="20"/>
          <w:szCs w:val="20"/>
        </w:rPr>
      </w:pPr>
    </w:p>
    <w:p w14:paraId="6F12C8AB" w14:textId="77777777" w:rsidR="0058084F" w:rsidRDefault="0058084F">
      <w:pPr>
        <w:ind w:left="0" w:hanging="2"/>
        <w:rPr>
          <w:i/>
        </w:rPr>
      </w:pPr>
    </w:p>
    <w:p w14:paraId="3EA94254" w14:textId="77777777" w:rsidR="0058084F" w:rsidRDefault="0058084F">
      <w:pPr>
        <w:ind w:left="0" w:hanging="2"/>
        <w:jc w:val="center"/>
        <w:rPr>
          <w:color w:val="70AD47"/>
        </w:rPr>
      </w:pPr>
    </w:p>
    <w:sectPr w:rsidR="0058084F">
      <w:headerReference w:type="even" r:id="rId15"/>
      <w:headerReference w:type="default" r:id="rId16"/>
      <w:footerReference w:type="even" r:id="rId17"/>
      <w:footerReference w:type="default" r:id="rId18"/>
      <w:headerReference w:type="first" r:id="rId19"/>
      <w:footerReference w:type="first" r:id="rId20"/>
      <w:pgSz w:w="11906" w:h="16838"/>
      <w:pgMar w:top="1985" w:right="1558" w:bottom="1417"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15C75" w14:textId="77777777" w:rsidR="009212A6" w:rsidRDefault="009212A6">
      <w:pPr>
        <w:spacing w:line="240" w:lineRule="auto"/>
        <w:ind w:left="0" w:hanging="2"/>
      </w:pPr>
      <w:r>
        <w:separator/>
      </w:r>
    </w:p>
  </w:endnote>
  <w:endnote w:type="continuationSeparator" w:id="0">
    <w:p w14:paraId="037618FF" w14:textId="77777777" w:rsidR="009212A6" w:rsidRDefault="009212A6">
      <w:pPr>
        <w:spacing w:line="240" w:lineRule="auto"/>
        <w:ind w:left="0" w:hanging="2"/>
      </w:pPr>
      <w:r>
        <w:continuationSeparator/>
      </w:r>
    </w:p>
  </w:endnote>
  <w:endnote w:type="continuationNotice" w:id="1">
    <w:p w14:paraId="58084360" w14:textId="77777777" w:rsidR="009212A6" w:rsidRDefault="009212A6">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4E4BB" w14:textId="77777777" w:rsidR="0058084F" w:rsidRDefault="0058084F">
    <w:pPr>
      <w:pBdr>
        <w:top w:val="nil"/>
        <w:left w:val="nil"/>
        <w:bottom w:val="nil"/>
        <w:right w:val="nil"/>
        <w:between w:val="nil"/>
      </w:pBdr>
      <w:tabs>
        <w:tab w:val="center" w:pos="4252"/>
        <w:tab w:val="right" w:pos="8504"/>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FFD6" w14:textId="77777777" w:rsidR="0058084F" w:rsidRDefault="0058084F">
    <w:pPr>
      <w:pBdr>
        <w:top w:val="nil"/>
        <w:left w:val="nil"/>
        <w:bottom w:val="nil"/>
        <w:right w:val="nil"/>
        <w:between w:val="nil"/>
      </w:pBdr>
      <w:tabs>
        <w:tab w:val="center" w:pos="4252"/>
        <w:tab w:val="right" w:pos="8504"/>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182A" w14:textId="77777777" w:rsidR="0058084F" w:rsidRDefault="0058084F">
    <w:pPr>
      <w:pBdr>
        <w:top w:val="nil"/>
        <w:left w:val="nil"/>
        <w:bottom w:val="nil"/>
        <w:right w:val="nil"/>
        <w:between w:val="nil"/>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95676" w14:textId="77777777" w:rsidR="009212A6" w:rsidRDefault="009212A6">
      <w:pPr>
        <w:spacing w:line="240" w:lineRule="auto"/>
        <w:ind w:left="0" w:hanging="2"/>
      </w:pPr>
      <w:r>
        <w:separator/>
      </w:r>
    </w:p>
  </w:footnote>
  <w:footnote w:type="continuationSeparator" w:id="0">
    <w:p w14:paraId="3AC79F2B" w14:textId="77777777" w:rsidR="009212A6" w:rsidRDefault="009212A6">
      <w:pPr>
        <w:spacing w:line="240" w:lineRule="auto"/>
        <w:ind w:left="0" w:hanging="2"/>
      </w:pPr>
      <w:r>
        <w:continuationSeparator/>
      </w:r>
    </w:p>
  </w:footnote>
  <w:footnote w:type="continuationNotice" w:id="1">
    <w:p w14:paraId="7514258A" w14:textId="77777777" w:rsidR="009212A6" w:rsidRDefault="009212A6">
      <w:pPr>
        <w:spacing w:line="240" w:lineRule="auto"/>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6D46" w14:textId="77777777" w:rsidR="0058084F" w:rsidRDefault="0058084F">
    <w:pPr>
      <w:pBdr>
        <w:top w:val="nil"/>
        <w:left w:val="nil"/>
        <w:bottom w:val="nil"/>
        <w:right w:val="nil"/>
        <w:between w:val="nil"/>
      </w:pBdr>
      <w:tabs>
        <w:tab w:val="center" w:pos="4252"/>
        <w:tab w:val="right" w:pos="8504"/>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FB91" w14:textId="77777777" w:rsidR="0058084F" w:rsidRDefault="007B5224">
    <w:pPr>
      <w:ind w:left="0" w:hanging="2"/>
    </w:pPr>
    <w:r>
      <w:rPr>
        <w:noProof/>
      </w:rPr>
      <w:drawing>
        <wp:anchor distT="0" distB="0" distL="114300" distR="114300" simplePos="0" relativeHeight="251658240" behindDoc="0" locked="0" layoutInCell="1" hidden="0" allowOverlap="1" wp14:anchorId="29A4C48B" wp14:editId="3114DA9E">
          <wp:simplePos x="0" y="0"/>
          <wp:positionH relativeFrom="column">
            <wp:posOffset>4744720</wp:posOffset>
          </wp:positionH>
          <wp:positionV relativeFrom="paragraph">
            <wp:posOffset>-74918</wp:posOffset>
          </wp:positionV>
          <wp:extent cx="1590675" cy="255905"/>
          <wp:effectExtent l="0" t="0" r="0" b="0"/>
          <wp:wrapSquare wrapText="bothSides" distT="0" distB="0" distL="114300" distR="11430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90675" cy="25590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F19B" w14:textId="77777777" w:rsidR="0058084F" w:rsidRDefault="0058084F">
    <w:pPr>
      <w:pBdr>
        <w:top w:val="nil"/>
        <w:left w:val="nil"/>
        <w:bottom w:val="nil"/>
        <w:right w:val="nil"/>
        <w:between w:val="nil"/>
      </w:pBdr>
      <w:tabs>
        <w:tab w:val="center" w:pos="4252"/>
        <w:tab w:val="right" w:pos="8504"/>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4014"/>
    <w:multiLevelType w:val="hybridMultilevel"/>
    <w:tmpl w:val="DCE8504E"/>
    <w:lvl w:ilvl="0" w:tplc="040A0001">
      <w:start w:val="1"/>
      <w:numFmt w:val="bullet"/>
      <w:lvlText w:val=""/>
      <w:lvlJc w:val="left"/>
      <w:pPr>
        <w:ind w:left="718" w:hanging="360"/>
      </w:pPr>
      <w:rPr>
        <w:rFonts w:ascii="Symbol" w:hAnsi="Symbol" w:hint="default"/>
      </w:rPr>
    </w:lvl>
    <w:lvl w:ilvl="1" w:tplc="040A0003" w:tentative="1">
      <w:start w:val="1"/>
      <w:numFmt w:val="bullet"/>
      <w:lvlText w:val="o"/>
      <w:lvlJc w:val="left"/>
      <w:pPr>
        <w:ind w:left="1438" w:hanging="360"/>
      </w:pPr>
      <w:rPr>
        <w:rFonts w:ascii="Courier New" w:hAnsi="Courier New" w:cs="Courier New" w:hint="default"/>
      </w:rPr>
    </w:lvl>
    <w:lvl w:ilvl="2" w:tplc="040A0005" w:tentative="1">
      <w:start w:val="1"/>
      <w:numFmt w:val="bullet"/>
      <w:lvlText w:val=""/>
      <w:lvlJc w:val="left"/>
      <w:pPr>
        <w:ind w:left="2158" w:hanging="360"/>
      </w:pPr>
      <w:rPr>
        <w:rFonts w:ascii="Wingdings" w:hAnsi="Wingdings" w:hint="default"/>
      </w:rPr>
    </w:lvl>
    <w:lvl w:ilvl="3" w:tplc="040A0001" w:tentative="1">
      <w:start w:val="1"/>
      <w:numFmt w:val="bullet"/>
      <w:lvlText w:val=""/>
      <w:lvlJc w:val="left"/>
      <w:pPr>
        <w:ind w:left="2878" w:hanging="360"/>
      </w:pPr>
      <w:rPr>
        <w:rFonts w:ascii="Symbol" w:hAnsi="Symbol" w:hint="default"/>
      </w:rPr>
    </w:lvl>
    <w:lvl w:ilvl="4" w:tplc="040A0003" w:tentative="1">
      <w:start w:val="1"/>
      <w:numFmt w:val="bullet"/>
      <w:lvlText w:val="o"/>
      <w:lvlJc w:val="left"/>
      <w:pPr>
        <w:ind w:left="3598" w:hanging="360"/>
      </w:pPr>
      <w:rPr>
        <w:rFonts w:ascii="Courier New" w:hAnsi="Courier New" w:cs="Courier New" w:hint="default"/>
      </w:rPr>
    </w:lvl>
    <w:lvl w:ilvl="5" w:tplc="040A0005" w:tentative="1">
      <w:start w:val="1"/>
      <w:numFmt w:val="bullet"/>
      <w:lvlText w:val=""/>
      <w:lvlJc w:val="left"/>
      <w:pPr>
        <w:ind w:left="4318" w:hanging="360"/>
      </w:pPr>
      <w:rPr>
        <w:rFonts w:ascii="Wingdings" w:hAnsi="Wingdings" w:hint="default"/>
      </w:rPr>
    </w:lvl>
    <w:lvl w:ilvl="6" w:tplc="040A0001" w:tentative="1">
      <w:start w:val="1"/>
      <w:numFmt w:val="bullet"/>
      <w:lvlText w:val=""/>
      <w:lvlJc w:val="left"/>
      <w:pPr>
        <w:ind w:left="5038" w:hanging="360"/>
      </w:pPr>
      <w:rPr>
        <w:rFonts w:ascii="Symbol" w:hAnsi="Symbol" w:hint="default"/>
      </w:rPr>
    </w:lvl>
    <w:lvl w:ilvl="7" w:tplc="040A0003" w:tentative="1">
      <w:start w:val="1"/>
      <w:numFmt w:val="bullet"/>
      <w:lvlText w:val="o"/>
      <w:lvlJc w:val="left"/>
      <w:pPr>
        <w:ind w:left="5758" w:hanging="360"/>
      </w:pPr>
      <w:rPr>
        <w:rFonts w:ascii="Courier New" w:hAnsi="Courier New" w:cs="Courier New" w:hint="default"/>
      </w:rPr>
    </w:lvl>
    <w:lvl w:ilvl="8" w:tplc="040A0005" w:tentative="1">
      <w:start w:val="1"/>
      <w:numFmt w:val="bullet"/>
      <w:lvlText w:val=""/>
      <w:lvlJc w:val="left"/>
      <w:pPr>
        <w:ind w:left="6478" w:hanging="360"/>
      </w:pPr>
      <w:rPr>
        <w:rFonts w:ascii="Wingdings" w:hAnsi="Wingdings" w:hint="default"/>
      </w:rPr>
    </w:lvl>
  </w:abstractNum>
  <w:abstractNum w:abstractNumId="1" w15:restartNumberingAfterBreak="0">
    <w:nsid w:val="625F1AE8"/>
    <w:multiLevelType w:val="multilevel"/>
    <w:tmpl w:val="D890B2DE"/>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num w:numId="1" w16cid:durableId="1241258924">
    <w:abstractNumId w:val="1"/>
  </w:num>
  <w:num w:numId="2" w16cid:durableId="326909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84F"/>
    <w:rsid w:val="00066BFB"/>
    <w:rsid w:val="00084FD6"/>
    <w:rsid w:val="001E793B"/>
    <w:rsid w:val="003072F6"/>
    <w:rsid w:val="0033694D"/>
    <w:rsid w:val="0036110E"/>
    <w:rsid w:val="004D59ED"/>
    <w:rsid w:val="005777D4"/>
    <w:rsid w:val="0058084F"/>
    <w:rsid w:val="006D3015"/>
    <w:rsid w:val="007B5224"/>
    <w:rsid w:val="00832BD9"/>
    <w:rsid w:val="009212A6"/>
    <w:rsid w:val="00A252A9"/>
    <w:rsid w:val="00A32F65"/>
    <w:rsid w:val="00A457D8"/>
    <w:rsid w:val="00AD7C07"/>
    <w:rsid w:val="00B0215F"/>
    <w:rsid w:val="00B850E6"/>
    <w:rsid w:val="00C75CCA"/>
    <w:rsid w:val="00CA3570"/>
    <w:rsid w:val="00DD5985"/>
    <w:rsid w:val="00E773D1"/>
    <w:rsid w:val="00F337F4"/>
    <w:rsid w:val="11457C6E"/>
    <w:rsid w:val="2344EC86"/>
    <w:rsid w:val="31A5801A"/>
    <w:rsid w:val="337F56FE"/>
    <w:rsid w:val="394EAA70"/>
    <w:rsid w:val="498914E8"/>
    <w:rsid w:val="5CA0C077"/>
    <w:rsid w:val="6CDB2AEF"/>
    <w:rsid w:val="6DF36666"/>
    <w:rsid w:val="7FF2D67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82925A8"/>
  <w15:docId w15:val="{EF9AE4EA-331E-44DB-9544-6D7F9D95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_tradn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uiPriority w:val="9"/>
    <w:semiHidden/>
    <w:unhideWhenUsed/>
    <w:qFormat/>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customStyle="1" w:styleId="TableNormal8">
    <w:name w:val="Table Normal8"/>
    <w:tblPr>
      <w:tblCellMar>
        <w:top w:w="0" w:type="dxa"/>
        <w:left w:w="0" w:type="dxa"/>
        <w:bottom w:w="0" w:type="dxa"/>
        <w:right w:w="0" w:type="dxa"/>
      </w:tblCellMar>
    </w:tblPr>
  </w:style>
  <w:style w:type="table" w:customStyle="1" w:styleId="TableNormal9">
    <w:name w:val="Table Normal9"/>
    <w:tblPr>
      <w:tblCellMar>
        <w:top w:w="0" w:type="dxa"/>
        <w:left w:w="0" w:type="dxa"/>
        <w:bottom w:w="0" w:type="dxa"/>
        <w:right w:w="0" w:type="dxa"/>
      </w:tblCellMar>
    </w:tblPr>
  </w:style>
  <w:style w:type="table" w:customStyle="1" w:styleId="TableNormal10">
    <w:name w:val="Table Normal10"/>
    <w:tblPr>
      <w:tblCellMar>
        <w:top w:w="0" w:type="dxa"/>
        <w:left w:w="0" w:type="dxa"/>
        <w:bottom w:w="0" w:type="dxa"/>
        <w:right w:w="0" w:type="dxa"/>
      </w:tblCellMar>
    </w:tblPr>
  </w:style>
  <w:style w:type="table" w:customStyle="1" w:styleId="TableNormal11">
    <w:name w:val="Table Normal11"/>
    <w:tblPr>
      <w:tblCellMar>
        <w:top w:w="0" w:type="dxa"/>
        <w:left w:w="0" w:type="dxa"/>
        <w:bottom w:w="0" w:type="dxa"/>
        <w:right w:w="0" w:type="dxa"/>
      </w:tblCellMar>
    </w:tblPr>
  </w:style>
  <w:style w:type="table" w:customStyle="1" w:styleId="TableNormal12">
    <w:name w:val="Table Normal12"/>
    <w:tblPr>
      <w:tblCellMar>
        <w:top w:w="0" w:type="dxa"/>
        <w:left w:w="0" w:type="dxa"/>
        <w:bottom w:w="0" w:type="dxa"/>
        <w:right w:w="0" w:type="dxa"/>
      </w:tblCellMar>
    </w:tblPr>
  </w:style>
  <w:style w:type="character" w:customStyle="1" w:styleId="Ttulo6Car">
    <w:name w:val="Título 6 Car"/>
    <w:rPr>
      <w:rFonts w:ascii="Times New Roman" w:eastAsia="Times New Roman" w:hAnsi="Times New Roman" w:cs="Times New Roman"/>
      <w:b/>
      <w:bCs/>
      <w:w w:val="100"/>
      <w:position w:val="-1"/>
      <w:sz w:val="15"/>
      <w:szCs w:val="15"/>
      <w:effect w:val="none"/>
      <w:vertAlign w:val="baseline"/>
      <w:cs w:val="0"/>
      <w:em w:val="none"/>
      <w:lang w:eastAsia="es-ES"/>
    </w:rPr>
  </w:style>
  <w:style w:type="character" w:styleId="Refdecomentario">
    <w:name w:val="annotation reference"/>
    <w:qFormat/>
    <w:rPr>
      <w:w w:val="100"/>
      <w:position w:val="-1"/>
      <w:sz w:val="16"/>
      <w:szCs w:val="16"/>
      <w:effect w:val="none"/>
      <w:vertAlign w:val="baseline"/>
      <w:cs w:val="0"/>
      <w:em w:val="none"/>
    </w:rPr>
  </w:style>
  <w:style w:type="character" w:styleId="nfasis">
    <w:name w:val="Emphasis"/>
    <w:rPr>
      <w:i/>
      <w:iCs/>
      <w:w w:val="100"/>
      <w:position w:val="-1"/>
      <w:effect w:val="none"/>
      <w:vertAlign w:val="baseline"/>
      <w:cs w:val="0"/>
      <w:em w:val="none"/>
    </w:rPr>
  </w:style>
  <w:style w:type="character" w:styleId="Hipervnculo">
    <w:name w:val="Hyperlink"/>
    <w:qFormat/>
    <w:rPr>
      <w:color w:val="0563C1"/>
      <w:w w:val="100"/>
      <w:position w:val="-1"/>
      <w:u w:val="single"/>
      <w:effect w:val="none"/>
      <w:vertAlign w:val="baseline"/>
      <w:cs w:val="0"/>
      <w:em w:val="none"/>
    </w:rPr>
  </w:style>
  <w:style w:type="character" w:styleId="Textoennegrita">
    <w:name w:val="Strong"/>
    <w:uiPriority w:val="22"/>
    <w:qFormat/>
    <w:rPr>
      <w:b/>
      <w:bCs/>
      <w:w w:val="100"/>
      <w:position w:val="-1"/>
      <w:effect w:val="none"/>
      <w:vertAlign w:val="baseline"/>
      <w:cs w:val="0"/>
      <w:em w:val="none"/>
    </w:rPr>
  </w:style>
  <w:style w:type="paragraph" w:styleId="Asuntodelcomentario">
    <w:name w:val="annotation subject"/>
    <w:basedOn w:val="Textocomentario"/>
    <w:next w:val="Textocomentario"/>
    <w:qFormat/>
    <w:pPr>
      <w:spacing w:after="0" w:line="240" w:lineRule="auto"/>
    </w:pPr>
    <w:rPr>
      <w:rFonts w:cs="Calibri"/>
      <w:b/>
      <w:bCs/>
      <w:sz w:val="20"/>
      <w:szCs w:val="20"/>
      <w:lang w:eastAsia="es-ES"/>
    </w:rPr>
  </w:style>
  <w:style w:type="paragraph" w:styleId="Textocomentario">
    <w:name w:val="annotation text"/>
    <w:basedOn w:val="Normal"/>
    <w:qFormat/>
    <w:pPr>
      <w:spacing w:after="200" w:line="276" w:lineRule="auto"/>
    </w:pPr>
    <w:rPr>
      <w:rFonts w:cs="Times New Roman"/>
      <w:lang w:eastAsia="en-US"/>
    </w:rPr>
  </w:style>
  <w:style w:type="character" w:customStyle="1" w:styleId="TextocomentarioCar">
    <w:name w:val="Texto comentario Car"/>
    <w:rPr>
      <w:w w:val="100"/>
      <w:position w:val="-1"/>
      <w:effect w:val="none"/>
      <w:vertAlign w:val="baseline"/>
      <w:cs w:val="0"/>
      <w:em w:val="none"/>
    </w:rPr>
  </w:style>
  <w:style w:type="character" w:customStyle="1" w:styleId="AsuntodelcomentarioCar">
    <w:name w:val="Asunto del comentario Car"/>
    <w:rPr>
      <w:rFonts w:ascii="Calibri" w:hAnsi="Calibri" w:cs="Calibri"/>
      <w:b/>
      <w:bCs/>
      <w:w w:val="100"/>
      <w:position w:val="-1"/>
      <w:sz w:val="20"/>
      <w:szCs w:val="20"/>
      <w:effect w:val="none"/>
      <w:vertAlign w:val="baseline"/>
      <w:cs w:val="0"/>
      <w:em w:val="none"/>
      <w:lang w:eastAsia="es-ES"/>
    </w:rPr>
  </w:style>
  <w:style w:type="paragraph" w:styleId="Textodeglobo">
    <w:name w:val="Balloon Text"/>
    <w:basedOn w:val="Normal"/>
    <w:qFormat/>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lang w:eastAsia="es-ES"/>
    </w:rPr>
  </w:style>
  <w:style w:type="paragraph" w:styleId="Encabezado">
    <w:name w:val="header"/>
    <w:basedOn w:val="Normal"/>
    <w:qFormat/>
    <w:pPr>
      <w:tabs>
        <w:tab w:val="center" w:pos="4252"/>
        <w:tab w:val="right" w:pos="8504"/>
      </w:tabs>
    </w:pPr>
  </w:style>
  <w:style w:type="character" w:customStyle="1" w:styleId="EncabezadoCar">
    <w:name w:val="Encabezado Car"/>
    <w:rPr>
      <w:rFonts w:ascii="Calibri" w:hAnsi="Calibri" w:cs="Calibri"/>
      <w:w w:val="100"/>
      <w:position w:val="-1"/>
      <w:effect w:val="none"/>
      <w:vertAlign w:val="baseline"/>
      <w:cs w:val="0"/>
      <w:em w:val="none"/>
      <w:lang w:eastAsia="es-ES"/>
    </w:rPr>
  </w:style>
  <w:style w:type="paragraph" w:styleId="NormalWeb">
    <w:name w:val="Normal (Web)"/>
    <w:basedOn w:val="Normal"/>
    <w:uiPriority w:val="99"/>
    <w:qFormat/>
    <w:pPr>
      <w:spacing w:before="100" w:beforeAutospacing="1" w:after="100" w:afterAutospacing="1"/>
    </w:pPr>
    <w:rPr>
      <w:rFonts w:ascii="Times New Roman" w:eastAsia="Times New Roman" w:hAnsi="Times New Roman" w:cs="Times New Roman"/>
      <w:sz w:val="24"/>
      <w:szCs w:val="24"/>
    </w:rPr>
  </w:style>
  <w:style w:type="paragraph" w:styleId="Piedepgina">
    <w:name w:val="footer"/>
    <w:basedOn w:val="Normal"/>
    <w:qFormat/>
    <w:pPr>
      <w:tabs>
        <w:tab w:val="center" w:pos="4252"/>
        <w:tab w:val="right" w:pos="8504"/>
      </w:tabs>
    </w:pPr>
  </w:style>
  <w:style w:type="character" w:customStyle="1" w:styleId="PiedepginaCar">
    <w:name w:val="Pie de página Car"/>
    <w:rPr>
      <w:rFonts w:ascii="Calibri" w:hAnsi="Calibri" w:cs="Calibri"/>
      <w:w w:val="100"/>
      <w:position w:val="-1"/>
      <w:effect w:val="none"/>
      <w:vertAlign w:val="baseline"/>
      <w:cs w:val="0"/>
      <w:em w:val="none"/>
      <w:lang w:eastAsia="es-ES"/>
    </w:rPr>
  </w:style>
  <w:style w:type="character" w:styleId="Mencinsinresolver">
    <w:name w:val="Unresolved Mention"/>
    <w:qFormat/>
    <w:rPr>
      <w:color w:val="605E5C"/>
      <w:w w:val="100"/>
      <w:position w:val="-1"/>
      <w:effect w:val="none"/>
      <w:shd w:val="clear" w:color="auto" w:fill="E1DFDD"/>
      <w:vertAlign w:val="baseline"/>
      <w:cs w:val="0"/>
      <w:em w:val="none"/>
    </w:rPr>
  </w:style>
  <w:style w:type="paragraph" w:styleId="Sinespaciado">
    <w:name w:val="No Spacing"/>
    <w:pPr>
      <w:suppressAutoHyphens/>
      <w:spacing w:line="1" w:lineRule="atLeast"/>
      <w:ind w:leftChars="-1" w:left="-1" w:hangingChars="1"/>
      <w:textDirection w:val="btLr"/>
      <w:textAlignment w:val="top"/>
      <w:outlineLvl w:val="0"/>
    </w:pPr>
    <w:rPr>
      <w:position w:val="-1"/>
      <w:lang w:eastAsia="en-US"/>
    </w:rPr>
  </w:style>
  <w:style w:type="paragraph" w:styleId="Prrafodelista">
    <w:name w:val="List Paragraph"/>
    <w:basedOn w:val="Normal"/>
    <w:pPr>
      <w:ind w:left="720"/>
      <w:contextualSpacing/>
    </w:pPr>
  </w:style>
  <w:style w:type="paragraph" w:customStyle="1" w:styleId="Textoindependiente1">
    <w:name w:val="Texto independiente1"/>
    <w:basedOn w:val="Normal"/>
    <w:pPr>
      <w:widowControl w:val="0"/>
      <w:suppressAutoHyphens w:val="0"/>
      <w:spacing w:after="140" w:line="288" w:lineRule="auto"/>
    </w:pPr>
    <w:rPr>
      <w:rFonts w:ascii="Liberation Serif" w:eastAsia="Times New Roman" w:hAnsi="Liberation Serif" w:cs="Liberation Serif"/>
      <w:color w:val="000000"/>
      <w:sz w:val="24"/>
      <w:szCs w:val="24"/>
      <w:lang w:bidi="hi-IN"/>
    </w:rPr>
  </w:style>
  <w:style w:type="character" w:customStyle="1" w:styleId="InternetLink">
    <w:name w:val="Internet Link"/>
    <w:qFormat/>
    <w:rPr>
      <w:color w:val="0000FF"/>
      <w:w w:val="100"/>
      <w:position w:val="-1"/>
      <w:u w:val="single"/>
      <w:effect w:val="none"/>
      <w:vertAlign w:val="baseline"/>
      <w:cs w:val="0"/>
      <w:em w:val="none"/>
    </w:rPr>
  </w:style>
  <w:style w:type="paragraph" w:customStyle="1" w:styleId="xmsonormal">
    <w:name w:val="x_msonormal"/>
    <w:basedOn w:val="Normal"/>
  </w:style>
  <w:style w:type="character" w:customStyle="1" w:styleId="TextocomentarioCar1">
    <w:name w:val="Texto comentario Car1"/>
    <w:rPr>
      <w:rFonts w:ascii="Calibri" w:hAnsi="Calibri" w:cs="Calibri"/>
      <w:w w:val="100"/>
      <w:position w:val="-1"/>
      <w:sz w:val="20"/>
      <w:szCs w:val="20"/>
      <w:effect w:val="none"/>
      <w:vertAlign w:val="baseline"/>
      <w:cs w:val="0"/>
      <w:em w:val="none"/>
      <w:lang w:eastAsia="es-ES"/>
    </w:rPr>
  </w:style>
  <w:style w:type="paragraph" w:customStyle="1" w:styleId="p1">
    <w:name w:val="p1"/>
    <w:basedOn w:val="Normal"/>
    <w:pPr>
      <w:spacing w:before="100" w:beforeAutospacing="1" w:after="100" w:afterAutospacing="1"/>
    </w:pPr>
    <w:rPr>
      <w:rFonts w:ascii="Times New Roman" w:eastAsia="Times New Roman" w:hAnsi="Times New Roman" w:cs="Times New Roman"/>
      <w:sz w:val="24"/>
      <w:szCs w:val="24"/>
    </w:rPr>
  </w:style>
  <w:style w:type="paragraph" w:customStyle="1" w:styleId="p2">
    <w:name w:val="p2"/>
    <w:basedOn w:val="Normal"/>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hAnsi="Arial" w:cs="Arial"/>
      <w:color w:val="000000"/>
      <w:position w:val="-1"/>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paragraph">
    <w:name w:val="paragraph"/>
    <w:basedOn w:val="Normal"/>
    <w:rsid w:val="005323D4"/>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character" w:customStyle="1" w:styleId="normaltextrun">
    <w:name w:val="normaltextrun"/>
    <w:basedOn w:val="Fuentedeprrafopredeter"/>
    <w:rsid w:val="005323D4"/>
  </w:style>
  <w:style w:type="character" w:customStyle="1" w:styleId="eop">
    <w:name w:val="eop"/>
    <w:basedOn w:val="Fuentedeprrafopredeter"/>
    <w:rsid w:val="005323D4"/>
  </w:style>
  <w:style w:type="table" w:styleId="Tablaconcuadrcula">
    <w:name w:val="Table Grid"/>
    <w:basedOn w:val="Tablanormal"/>
    <w:uiPriority w:val="39"/>
    <w:rsid w:val="00A52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F2FA2"/>
    <w:pPr>
      <w:ind w:firstLine="0"/>
    </w:pPr>
    <w:rPr>
      <w:position w:val="-1"/>
    </w:rPr>
  </w:style>
  <w:style w:type="table" w:customStyle="1" w:styleId="NormalTable0">
    <w:name w:val="Normal Table0"/>
    <w:rsid w:val="00A457D8"/>
    <w:tblPr>
      <w:tblCellMar>
        <w:top w:w="0" w:type="dxa"/>
        <w:left w:w="0" w:type="dxa"/>
        <w:bottom w:w="0" w:type="dxa"/>
        <w:right w:w="0" w:type="dxa"/>
      </w:tblCellMar>
    </w:tblPr>
  </w:style>
  <w:style w:type="table" w:customStyle="1" w:styleId="TableNormal0">
    <w:name w:val="Table Normal0"/>
    <w:rsid w:val="00A457D8"/>
    <w:tblPr>
      <w:tblCellMar>
        <w:top w:w="0" w:type="dxa"/>
        <w:left w:w="0" w:type="dxa"/>
        <w:bottom w:w="0" w:type="dxa"/>
        <w:right w:w="0" w:type="dxa"/>
      </w:tblCellMar>
    </w:tblPr>
  </w:style>
  <w:style w:type="table" w:customStyle="1" w:styleId="TableNormal20">
    <w:name w:val="Table Normal20"/>
    <w:rsid w:val="00A457D8"/>
    <w:tblPr>
      <w:tblCellMar>
        <w:top w:w="0" w:type="dxa"/>
        <w:left w:w="0" w:type="dxa"/>
        <w:bottom w:w="0" w:type="dxa"/>
        <w:right w:w="0" w:type="dxa"/>
      </w:tblCellMar>
    </w:tblPr>
  </w:style>
  <w:style w:type="table" w:customStyle="1" w:styleId="TableNormal30">
    <w:name w:val="Table Normal30"/>
    <w:rsid w:val="00A457D8"/>
    <w:tblPr>
      <w:tblCellMar>
        <w:top w:w="0" w:type="dxa"/>
        <w:left w:w="0" w:type="dxa"/>
        <w:bottom w:w="0" w:type="dxa"/>
        <w:right w:w="0" w:type="dxa"/>
      </w:tblCellMar>
    </w:tblPr>
  </w:style>
  <w:style w:type="table" w:customStyle="1" w:styleId="TableNormal40">
    <w:name w:val="Table Normal40"/>
    <w:rsid w:val="00A457D8"/>
    <w:tblPr>
      <w:tblCellMar>
        <w:top w:w="0" w:type="dxa"/>
        <w:left w:w="0" w:type="dxa"/>
        <w:bottom w:w="0" w:type="dxa"/>
        <w:right w:w="0" w:type="dxa"/>
      </w:tblCellMar>
    </w:tblPr>
  </w:style>
  <w:style w:type="table" w:customStyle="1" w:styleId="TableNormal50">
    <w:name w:val="Table Normal50"/>
    <w:rsid w:val="00A457D8"/>
    <w:tblPr>
      <w:tblCellMar>
        <w:top w:w="0" w:type="dxa"/>
        <w:left w:w="0" w:type="dxa"/>
        <w:bottom w:w="0" w:type="dxa"/>
        <w:right w:w="0" w:type="dxa"/>
      </w:tblCellMar>
    </w:tblPr>
  </w:style>
  <w:style w:type="table" w:customStyle="1" w:styleId="TableNormal60">
    <w:name w:val="Table Normal60"/>
    <w:rsid w:val="00A457D8"/>
    <w:tblPr>
      <w:tblCellMar>
        <w:top w:w="0" w:type="dxa"/>
        <w:left w:w="0" w:type="dxa"/>
        <w:bottom w:w="0" w:type="dxa"/>
        <w:right w:w="0" w:type="dxa"/>
      </w:tblCellMar>
    </w:tblPr>
  </w:style>
  <w:style w:type="table" w:customStyle="1" w:styleId="TableNormal70">
    <w:name w:val="Table Normal70"/>
    <w:rsid w:val="00A457D8"/>
    <w:tblPr>
      <w:tblCellMar>
        <w:top w:w="0" w:type="dxa"/>
        <w:left w:w="0" w:type="dxa"/>
        <w:bottom w:w="0" w:type="dxa"/>
        <w:right w:w="0" w:type="dxa"/>
      </w:tblCellMar>
    </w:tblPr>
  </w:style>
  <w:style w:type="table" w:customStyle="1" w:styleId="TableNormal80">
    <w:name w:val="Table Normal80"/>
    <w:rsid w:val="00A457D8"/>
    <w:tblPr>
      <w:tblCellMar>
        <w:top w:w="0" w:type="dxa"/>
        <w:left w:w="0" w:type="dxa"/>
        <w:bottom w:w="0" w:type="dxa"/>
        <w:right w:w="0" w:type="dxa"/>
      </w:tblCellMar>
    </w:tblPr>
  </w:style>
  <w:style w:type="table" w:customStyle="1" w:styleId="TableNormal100">
    <w:name w:val="Table Normal100"/>
    <w:rsid w:val="00A457D8"/>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de.agenciatributaria.gob.es/Sede/ayuda/manuales-videos-folletos/manuales-practicos/irpf-2021/capitulo-11-ganancias-perdidas-patrimoniales/monedas-virtuales/compra-venta-monedas-virtuales-tributacion-inversor.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ech.asufin.com/wp-content/uploads/2021/11/III_ESTUDIO_CONOCIMIENTO_HABITOS_Y_USOS_DE_FINTECH_EN_ESPANA.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xdown.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sther@taxdown.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bxd2xIG6QCom26zIH8CeTcosmA==">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268843AEFC899245B455BD4638032952" ma:contentTypeVersion="16" ma:contentTypeDescription="Crear nuevo documento." ma:contentTypeScope="" ma:versionID="04e93f02f669d8022594e21a9812e0aa">
  <xsd:schema xmlns:xsd="http://www.w3.org/2001/XMLSchema" xmlns:xs="http://www.w3.org/2001/XMLSchema" xmlns:p="http://schemas.microsoft.com/office/2006/metadata/properties" xmlns:ns2="527fe7ca-77e5-469c-a13a-35db0a1e7b4e" xmlns:ns3="ce184150-5fae-49ee-ae80-d9a2e113130d" targetNamespace="http://schemas.microsoft.com/office/2006/metadata/properties" ma:root="true" ma:fieldsID="7fe8eb28545417679e88c5d023364db6" ns2:_="" ns3:_="">
    <xsd:import namespace="527fe7ca-77e5-469c-a13a-35db0a1e7b4e"/>
    <xsd:import namespace="ce184150-5fae-49ee-ae80-d9a2e11313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fe7ca-77e5-469c-a13a-35db0a1e7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558bff6f-aa43-495f-a239-c811ededde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184150-5fae-49ee-ae80-d9a2e113130d"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20ee7b83-6c26-4cde-8996-9a599dfef455}" ma:internalName="TaxCatchAll" ma:showField="CatchAllData" ma:web="ce184150-5fae-49ee-ae80-d9a2e11313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27fe7ca-77e5-469c-a13a-35db0a1e7b4e">
      <Terms xmlns="http://schemas.microsoft.com/office/infopath/2007/PartnerControls"/>
    </lcf76f155ced4ddcb4097134ff3c332f>
    <TaxCatchAll xmlns="ce184150-5fae-49ee-ae80-d9a2e113130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5E08D0A-A636-4600-9F23-9F7E0A144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fe7ca-77e5-469c-a13a-35db0a1e7b4e"/>
    <ds:schemaRef ds:uri="ce184150-5fae-49ee-ae80-d9a2e11313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12DE3-304D-48FA-9F97-D0EFE399E183}">
  <ds:schemaRefs>
    <ds:schemaRef ds:uri="http://schemas.microsoft.com/office/2006/metadata/properties"/>
    <ds:schemaRef ds:uri="http://schemas.microsoft.com/office/infopath/2007/PartnerControls"/>
    <ds:schemaRef ds:uri="527fe7ca-77e5-469c-a13a-35db0a1e7b4e"/>
    <ds:schemaRef ds:uri="ce184150-5fae-49ee-ae80-d9a2e113130d"/>
  </ds:schemaRefs>
</ds:datastoreItem>
</file>

<file path=customXml/itemProps4.xml><?xml version="1.0" encoding="utf-8"?>
<ds:datastoreItem xmlns:ds="http://schemas.openxmlformats.org/officeDocument/2006/customXml" ds:itemID="{2C29086C-A021-41F4-955E-D15926E920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4631</Characters>
  <Application>Microsoft Office Word</Application>
  <DocSecurity>0</DocSecurity>
  <Lines>38</Lines>
  <Paragraphs>10</Paragraphs>
  <ScaleCrop>false</ScaleCrop>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Bermejo (Omnicom PR Group)</dc:creator>
  <cp:keywords/>
  <cp:lastModifiedBy>Esther Maroto Almarcha</cp:lastModifiedBy>
  <cp:revision>2</cp:revision>
  <dcterms:created xsi:type="dcterms:W3CDTF">2022-08-22T13:56:00Z</dcterms:created>
  <dcterms:modified xsi:type="dcterms:W3CDTF">2022-08-22T13:56:00Z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3082-11.2.0.10152</vt:lpwstr>
  </property>
  <property fmtid="{D5CDD505-2E9C-101B-9397-08002B2CF9AE}" pid="3" name="ContentTypeId">
    <vt:lpwstr>0x010100268843AEFC899245B455BD4638032952</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