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6C21" w14:textId="320D4223" w:rsidR="00BD08B9" w:rsidRDefault="00B44541" w:rsidP="00BD08B9">
      <w:pPr>
        <w:suppressAutoHyphens w:val="0"/>
        <w:spacing w:line="240" w:lineRule="auto"/>
        <w:ind w:leftChars="0" w:left="0" w:firstLineChars="0"/>
        <w:jc w:val="center"/>
        <w:textDirection w:val="lrTb"/>
        <w:textAlignment w:val="auto"/>
        <w:outlineLvl w:val="9"/>
        <w:rPr>
          <w:b/>
          <w:sz w:val="32"/>
          <w:szCs w:val="32"/>
        </w:rPr>
      </w:pPr>
      <w:r>
        <w:rPr>
          <w:b/>
          <w:sz w:val="32"/>
          <w:szCs w:val="32"/>
        </w:rPr>
        <w:t>Las apuestas online crecen entre los más jóvenes</w:t>
      </w:r>
    </w:p>
    <w:p w14:paraId="23A447B6" w14:textId="123E3154" w:rsidR="00B44541" w:rsidRPr="00BD08B9" w:rsidRDefault="00B44541" w:rsidP="00BD08B9">
      <w:pPr>
        <w:suppressAutoHyphens w:val="0"/>
        <w:spacing w:line="240" w:lineRule="auto"/>
        <w:ind w:leftChars="0" w:left="0" w:firstLineChars="0"/>
        <w:jc w:val="center"/>
        <w:textDirection w:val="lrTb"/>
        <w:textAlignment w:val="auto"/>
        <w:outlineLvl w:val="9"/>
        <w:rPr>
          <w:rFonts w:ascii="Times New Roman" w:eastAsia="Times New Roman" w:hAnsi="Times New Roman" w:cs="Times New Roman"/>
          <w:position w:val="0"/>
          <w:sz w:val="24"/>
          <w:szCs w:val="24"/>
        </w:rPr>
      </w:pPr>
      <w:r>
        <w:rPr>
          <w:b/>
          <w:sz w:val="32"/>
          <w:szCs w:val="32"/>
        </w:rPr>
        <w:t>¿Cómo declarar estas ganancias en la declaración de la renta?</w:t>
      </w:r>
    </w:p>
    <w:p w14:paraId="530939EE" w14:textId="77777777" w:rsidR="001162AE" w:rsidRDefault="001162AE" w:rsidP="00BD08B9">
      <w:pPr>
        <w:ind w:leftChars="0" w:left="0" w:firstLineChars="0" w:firstLine="0"/>
        <w:rPr>
          <w:sz w:val="20"/>
          <w:szCs w:val="20"/>
        </w:rPr>
      </w:pPr>
    </w:p>
    <w:p w14:paraId="530939EF" w14:textId="3671EE92" w:rsidR="001162AE" w:rsidRPr="003D3752" w:rsidRDefault="00B44541" w:rsidP="67DB01EA">
      <w:pPr>
        <w:pStyle w:val="Prrafodelista"/>
        <w:numPr>
          <w:ilvl w:val="0"/>
          <w:numId w:val="2"/>
        </w:numPr>
        <w:pBdr>
          <w:top w:val="nil"/>
          <w:left w:val="nil"/>
          <w:bottom w:val="nil"/>
          <w:right w:val="nil"/>
          <w:between w:val="nil"/>
        </w:pBdr>
        <w:spacing w:line="240" w:lineRule="auto"/>
        <w:ind w:leftChars="0" w:right="282" w:firstLineChars="0"/>
        <w:jc w:val="both"/>
        <w:rPr>
          <w:b/>
          <w:bCs/>
          <w:color w:val="00000A"/>
        </w:rPr>
      </w:pPr>
      <w:r>
        <w:rPr>
          <w:b/>
          <w:bCs/>
        </w:rPr>
        <w:t>El perfil del jugador de apuestas online, según el último informe del Ministerio de Consumo, es un hombre de entre 18 y 35 años</w:t>
      </w:r>
    </w:p>
    <w:p w14:paraId="530939F0" w14:textId="77777777" w:rsidR="001162AE" w:rsidRDefault="001162AE" w:rsidP="003D3752">
      <w:pPr>
        <w:pBdr>
          <w:top w:val="nil"/>
          <w:left w:val="nil"/>
          <w:bottom w:val="nil"/>
          <w:right w:val="nil"/>
          <w:between w:val="nil"/>
        </w:pBdr>
        <w:spacing w:line="240" w:lineRule="auto"/>
        <w:ind w:leftChars="0" w:left="-2" w:right="282" w:firstLineChars="0" w:firstLine="0"/>
        <w:jc w:val="both"/>
        <w:rPr>
          <w:b/>
          <w:color w:val="00000A"/>
        </w:rPr>
      </w:pPr>
    </w:p>
    <w:p w14:paraId="530939F1" w14:textId="5650BAAE" w:rsidR="001162AE" w:rsidRDefault="001F6681" w:rsidP="001F6681">
      <w:pPr>
        <w:pStyle w:val="Prrafodelista"/>
        <w:numPr>
          <w:ilvl w:val="0"/>
          <w:numId w:val="2"/>
        </w:numPr>
        <w:pBdr>
          <w:top w:val="nil"/>
          <w:left w:val="nil"/>
          <w:bottom w:val="nil"/>
          <w:right w:val="nil"/>
          <w:between w:val="nil"/>
        </w:pBdr>
        <w:spacing w:line="240" w:lineRule="auto"/>
        <w:ind w:leftChars="0" w:right="282" w:firstLineChars="0"/>
        <w:jc w:val="both"/>
        <w:rPr>
          <w:b/>
          <w:color w:val="00000A"/>
        </w:rPr>
      </w:pPr>
      <w:r>
        <w:rPr>
          <w:b/>
          <w:color w:val="00000A"/>
        </w:rPr>
        <w:t xml:space="preserve">Según informa TaxDown, </w:t>
      </w:r>
      <w:r w:rsidR="0024636B">
        <w:rPr>
          <w:b/>
          <w:color w:val="00000A"/>
        </w:rPr>
        <w:t>es importante saber cómo declarar</w:t>
      </w:r>
      <w:r w:rsidR="00B44541">
        <w:rPr>
          <w:b/>
          <w:color w:val="00000A"/>
        </w:rPr>
        <w:t xml:space="preserve"> correctamente las ganancias obtenidas en estas apuestas en nuestra declaración de la renta</w:t>
      </w:r>
    </w:p>
    <w:p w14:paraId="530939F2" w14:textId="77777777" w:rsidR="001162AE" w:rsidRDefault="001162AE" w:rsidP="003D3752">
      <w:pPr>
        <w:ind w:leftChars="0" w:left="-2" w:firstLineChars="0" w:firstLine="0"/>
        <w:rPr>
          <w:b/>
          <w:color w:val="000000"/>
        </w:rPr>
      </w:pPr>
    </w:p>
    <w:p w14:paraId="530939F4" w14:textId="77777777" w:rsidR="001162AE" w:rsidRDefault="001162AE">
      <w:pPr>
        <w:pBdr>
          <w:top w:val="nil"/>
          <w:left w:val="nil"/>
          <w:bottom w:val="nil"/>
          <w:right w:val="nil"/>
          <w:between w:val="nil"/>
        </w:pBdr>
        <w:spacing w:line="240" w:lineRule="auto"/>
        <w:ind w:left="0" w:right="282" w:hanging="2"/>
        <w:rPr>
          <w:color w:val="000000"/>
        </w:rPr>
      </w:pPr>
    </w:p>
    <w:p w14:paraId="31847FE8" w14:textId="7B9B6BAB" w:rsidR="00B44541" w:rsidRDefault="00CD5608" w:rsidP="005534CB">
      <w:pPr>
        <w:ind w:left="0" w:hanging="2"/>
        <w:jc w:val="both"/>
      </w:pPr>
      <w:r>
        <w:rPr>
          <w:b/>
        </w:rPr>
        <w:t xml:space="preserve">Madrid, </w:t>
      </w:r>
      <w:r w:rsidR="00B44541">
        <w:rPr>
          <w:b/>
        </w:rPr>
        <w:t>17</w:t>
      </w:r>
      <w:r w:rsidR="00097801">
        <w:rPr>
          <w:b/>
        </w:rPr>
        <w:t xml:space="preserve"> </w:t>
      </w:r>
      <w:r>
        <w:rPr>
          <w:b/>
        </w:rPr>
        <w:t xml:space="preserve">de </w:t>
      </w:r>
      <w:r w:rsidR="00422DBA">
        <w:rPr>
          <w:b/>
        </w:rPr>
        <w:t xml:space="preserve">agosto </w:t>
      </w:r>
      <w:r>
        <w:rPr>
          <w:b/>
        </w:rPr>
        <w:t xml:space="preserve">de </w:t>
      </w:r>
      <w:r>
        <w:rPr>
          <w:b/>
          <w:color w:val="00000A"/>
        </w:rPr>
        <w:t>2022</w:t>
      </w:r>
      <w:r>
        <w:t xml:space="preserve"> – </w:t>
      </w:r>
      <w:r w:rsidR="00B44541" w:rsidRPr="00B44541">
        <w:t xml:space="preserve">Según el último </w:t>
      </w:r>
      <w:hyperlink r:id="rId11" w:history="1">
        <w:r w:rsidR="00B44541" w:rsidRPr="00B44541">
          <w:rPr>
            <w:rStyle w:val="Hipervnculo"/>
          </w:rPr>
          <w:t>informe del perfil de jugador online</w:t>
        </w:r>
      </w:hyperlink>
      <w:r w:rsidR="00B44541">
        <w:t xml:space="preserve"> publicado por la secretaría general de consumo y juego dependiente del Ministerio de Consumo, </w:t>
      </w:r>
      <w:r w:rsidR="00B44541" w:rsidRPr="00A4218D">
        <w:rPr>
          <w:b/>
          <w:bCs/>
        </w:rPr>
        <w:t>cada vez son más los jóvenes que juegan a apuestas online</w:t>
      </w:r>
      <w:r w:rsidR="00B44541">
        <w:t xml:space="preserve">. Del total de jugadores activos (1.470.303), un 77,3% (1.136.399) lo hacen a través de apuestas siendo las deportivas las más comunes, muy por detrás de otros juegos online como el casino, el póquer o el bingo. Además, es el juego que más crece con respecto al año pasado, con un aumento del 8,76%. Y destaca sobre todo su presencia entre los más jóvenes. Así, 2021 acabó con 34.301 jugadores más de entre 18 y 25 años, siendo la franja de edad con mayor crecimiento respecto al año anterior. Y en el caso del sexo, los datos no dejan lugar a dudas. </w:t>
      </w:r>
      <w:r w:rsidR="00B44541" w:rsidRPr="00A4218D">
        <w:rPr>
          <w:b/>
          <w:bCs/>
        </w:rPr>
        <w:t>Del total de jugadores de apuestas online, un 85,79% son hombres</w:t>
      </w:r>
      <w:r w:rsidR="00B44541">
        <w:t>.</w:t>
      </w:r>
    </w:p>
    <w:p w14:paraId="147E882B" w14:textId="553A95A3" w:rsidR="005534CB" w:rsidRDefault="005534CB" w:rsidP="005534CB">
      <w:pPr>
        <w:ind w:left="0" w:hanging="2"/>
        <w:jc w:val="both"/>
      </w:pPr>
    </w:p>
    <w:p w14:paraId="438B7B03" w14:textId="1297958E" w:rsidR="005534CB" w:rsidRDefault="00F10A81" w:rsidP="005534CB">
      <w:pPr>
        <w:ind w:left="0" w:hanging="2"/>
        <w:jc w:val="both"/>
      </w:pPr>
      <w:r>
        <w:t xml:space="preserve">También hay diferencias notables en cuanto a la inversión, ya que </w:t>
      </w:r>
      <w:r w:rsidRPr="00A4218D">
        <w:rPr>
          <w:b/>
          <w:bCs/>
        </w:rPr>
        <w:t>e</w:t>
      </w:r>
      <w:r w:rsidR="005534CB" w:rsidRPr="00A4218D">
        <w:rPr>
          <w:b/>
          <w:bCs/>
        </w:rPr>
        <w:t>l gasto medio de los hombres fue de 583 euros al año y el de las mujeres, de 234 euros</w:t>
      </w:r>
      <w:r w:rsidR="005534CB">
        <w:t xml:space="preserve">. Por tramos de edad el mayor gasto neto medio es de 837 euros anuales y corresponde a los jugadores con edades comprendidas entre 36 y 45 años. </w:t>
      </w:r>
      <w:r>
        <w:t>Del total de jugadores, u</w:t>
      </w:r>
      <w:r w:rsidR="005534CB">
        <w:t xml:space="preserve">n 20% de </w:t>
      </w:r>
      <w:r>
        <w:t>ellos</w:t>
      </w:r>
      <w:r w:rsidR="005534CB">
        <w:t xml:space="preserve"> obtiene premios netos. </w:t>
      </w:r>
      <w:r>
        <w:t>Incluso p</w:t>
      </w:r>
      <w:r w:rsidR="005534CB">
        <w:t>ara un 5% de los participantes el premio neto en el año llega a superar los 475 euros.</w:t>
      </w:r>
    </w:p>
    <w:p w14:paraId="25BEC0EC" w14:textId="21FBDF00" w:rsidR="005534CB" w:rsidRDefault="005534CB" w:rsidP="005534CB">
      <w:pPr>
        <w:ind w:left="0" w:hanging="2"/>
        <w:jc w:val="both"/>
      </w:pPr>
    </w:p>
    <w:p w14:paraId="56A6BE7E" w14:textId="169C0478" w:rsidR="005534CB" w:rsidRPr="005534CB" w:rsidRDefault="001651AF" w:rsidP="005534CB">
      <w:pPr>
        <w:ind w:left="0" w:hanging="2"/>
        <w:jc w:val="both"/>
        <w:rPr>
          <w:b/>
          <w:bCs/>
        </w:rPr>
      </w:pPr>
      <w:r>
        <w:rPr>
          <w:b/>
          <w:bCs/>
        </w:rPr>
        <w:t>Las apuestas deportivas en la declaración de la Renta</w:t>
      </w:r>
    </w:p>
    <w:p w14:paraId="66A1097E" w14:textId="4AF60688" w:rsidR="005534CB" w:rsidRDefault="005534CB" w:rsidP="005534CB">
      <w:pPr>
        <w:ind w:left="0" w:hanging="2"/>
        <w:jc w:val="both"/>
      </w:pPr>
    </w:p>
    <w:p w14:paraId="2695124F" w14:textId="617A521B" w:rsidR="005534CB" w:rsidRDefault="005534CB" w:rsidP="005534CB">
      <w:pPr>
        <w:ind w:left="0" w:hanging="2"/>
        <w:jc w:val="both"/>
      </w:pPr>
      <w:r>
        <w:t xml:space="preserve">Según los </w:t>
      </w:r>
      <w:r w:rsidR="00F10A81">
        <w:t xml:space="preserve">propios </w:t>
      </w:r>
      <w:r>
        <w:t xml:space="preserve">datos del Ministerio de Consumo, </w:t>
      </w:r>
      <w:r w:rsidR="001651AF" w:rsidRPr="00A4218D">
        <w:rPr>
          <w:b/>
          <w:bCs/>
        </w:rPr>
        <w:t>casi 300.000</w:t>
      </w:r>
      <w:r w:rsidRPr="00A4218D">
        <w:rPr>
          <w:b/>
          <w:bCs/>
        </w:rPr>
        <w:t xml:space="preserve"> contribuyentes tendrían que declarar ganancias por sus juegos online</w:t>
      </w:r>
      <w:r>
        <w:t>. Y es que además</w:t>
      </w:r>
      <w:r w:rsidRPr="00F42FD0">
        <w:t xml:space="preserve"> de </w:t>
      </w:r>
      <w:r>
        <w:t xml:space="preserve">incluir </w:t>
      </w:r>
      <w:r w:rsidRPr="00F42FD0">
        <w:t>en el borrador</w:t>
      </w:r>
      <w:r>
        <w:t xml:space="preserve"> de nuestra declaración de la renta</w:t>
      </w:r>
      <w:r w:rsidRPr="00F42FD0">
        <w:t xml:space="preserve"> los datos relacionados con el s</w:t>
      </w:r>
      <w:r>
        <w:t>alario</w:t>
      </w:r>
      <w:r w:rsidRPr="00F42FD0">
        <w:t xml:space="preserve">, los </w:t>
      </w:r>
      <w:r>
        <w:t>intereses</w:t>
      </w:r>
      <w:r w:rsidRPr="00F42FD0">
        <w:t xml:space="preserve"> de </w:t>
      </w:r>
      <w:r>
        <w:t>nuestras cuentas bancarias</w:t>
      </w:r>
      <w:r w:rsidRPr="00F42FD0">
        <w:t xml:space="preserve"> o las donaciones que hemos </w:t>
      </w:r>
      <w:r>
        <w:t>hecho</w:t>
      </w:r>
      <w:r w:rsidRPr="00F42FD0">
        <w:t xml:space="preserve"> a asociaciones y organizaciones benéficas, también es necesario</w:t>
      </w:r>
      <w:r>
        <w:t xml:space="preserve"> añadir </w:t>
      </w:r>
      <w:r w:rsidRPr="00F42FD0">
        <w:t xml:space="preserve">las </w:t>
      </w:r>
      <w:r>
        <w:t>ganancias que hemos obtenido con nuestras apuestas deportivas</w:t>
      </w:r>
      <w:r w:rsidRPr="00F42FD0">
        <w:t xml:space="preserve">. De hecho, </w:t>
      </w:r>
      <w:r w:rsidRPr="00A4218D">
        <w:rPr>
          <w:b/>
          <w:bCs/>
        </w:rPr>
        <w:t>la Agencia Tributaria suele revisar este tipo de datos para detectar o evitar posibles fraudes por parte de los contribuyentes</w:t>
      </w:r>
      <w:r w:rsidR="001651AF" w:rsidRPr="00A4218D">
        <w:rPr>
          <w:b/>
          <w:bCs/>
        </w:rPr>
        <w:t>,</w:t>
      </w:r>
      <w:r w:rsidRPr="00A4218D">
        <w:rPr>
          <w:b/>
          <w:bCs/>
        </w:rPr>
        <w:t xml:space="preserve"> según confirma</w:t>
      </w:r>
      <w:r>
        <w:rPr>
          <w:b/>
        </w:rPr>
        <w:t xml:space="preserve">n desde </w:t>
      </w:r>
      <w:hyperlink r:id="rId12">
        <w:r>
          <w:rPr>
            <w:b/>
            <w:color w:val="1155CC"/>
            <w:u w:val="single"/>
          </w:rPr>
          <w:t>TaxDown</w:t>
        </w:r>
      </w:hyperlink>
      <w:r>
        <w:t>.</w:t>
      </w:r>
    </w:p>
    <w:p w14:paraId="7248712D" w14:textId="49EBE314" w:rsidR="001651AF" w:rsidRDefault="001651AF" w:rsidP="001651AF">
      <w:pPr>
        <w:ind w:left="0" w:hanging="2"/>
        <w:jc w:val="both"/>
      </w:pPr>
    </w:p>
    <w:p w14:paraId="37360E35" w14:textId="5E431C6B" w:rsidR="001651AF" w:rsidRDefault="001651AF" w:rsidP="001651AF">
      <w:pPr>
        <w:ind w:left="0" w:hanging="2"/>
        <w:jc w:val="both"/>
      </w:pPr>
      <w:r w:rsidRPr="00A4218D">
        <w:rPr>
          <w:b/>
          <w:bCs/>
        </w:rPr>
        <w:t>Es importante tener en cuenta que, aunque solo hayamos ganado 1 euro con las apuestas deportivas,</w:t>
      </w:r>
      <w:r w:rsidR="00F10A81" w:rsidRPr="00A4218D">
        <w:rPr>
          <w:b/>
          <w:bCs/>
        </w:rPr>
        <w:t xml:space="preserve"> </w:t>
      </w:r>
      <w:r w:rsidRPr="00A4218D">
        <w:rPr>
          <w:b/>
          <w:bCs/>
        </w:rPr>
        <w:t>tenemos que añadir ese euro que hemos ganado en el juego</w:t>
      </w:r>
      <w:r w:rsidRPr="001651AF">
        <w:t xml:space="preserve"> ya que es parte de nuestros ingresos durante el año fiscal</w:t>
      </w:r>
      <w:r w:rsidR="00F10A81">
        <w:t xml:space="preserve"> siempre y cuando estemos obligados a presentar la declaración.</w:t>
      </w:r>
    </w:p>
    <w:p w14:paraId="7819F3A8" w14:textId="0F7F8132" w:rsidR="007325BE" w:rsidRDefault="007325BE" w:rsidP="001651AF">
      <w:pPr>
        <w:ind w:left="0" w:hanging="2"/>
        <w:jc w:val="both"/>
      </w:pPr>
    </w:p>
    <w:p w14:paraId="298C087F" w14:textId="6DD653B2" w:rsidR="007325BE" w:rsidRDefault="007325BE" w:rsidP="001651AF">
      <w:pPr>
        <w:ind w:left="0" w:hanging="2"/>
        <w:jc w:val="both"/>
      </w:pPr>
      <w:r>
        <w:t xml:space="preserve">Tal y como se establece en la </w:t>
      </w:r>
      <w:hyperlink r:id="rId13" w:history="1">
        <w:r w:rsidRPr="00F10A81">
          <w:rPr>
            <w:rStyle w:val="Hipervnculo"/>
          </w:rPr>
          <w:t>Ley 35/2006</w:t>
        </w:r>
      </w:hyperlink>
      <w:r>
        <w:t xml:space="preserve"> del Impuesto sobre la Renta de las Personas Físicas, tendremos que presentar nuestra declaración si hemos obtenido unos ingresos anuales superiores a los 22.000 euros con un único pagador o superiores a los 14.000 euros en el caso de tener dos pagadores. </w:t>
      </w:r>
      <w:r w:rsidR="00B25FD1">
        <w:t xml:space="preserve">De todos modos, si nuestros ingresos provenientes de apuestas deportivas o cualquier otra fuente superan los 1.000 euros, también tendremos que presentar nuestra </w:t>
      </w:r>
      <w:proofErr w:type="gramStart"/>
      <w:r w:rsidR="00B25FD1">
        <w:t>declaración</w:t>
      </w:r>
      <w:proofErr w:type="gramEnd"/>
      <w:r w:rsidR="00B25FD1">
        <w:t xml:space="preserve"> aunque no cumplamos la regla de los rendimientos provenientes del trabajo.</w:t>
      </w:r>
    </w:p>
    <w:p w14:paraId="1D5F82E6" w14:textId="77777777" w:rsidR="007325BE" w:rsidRDefault="007325BE" w:rsidP="005534CB">
      <w:pPr>
        <w:ind w:left="0" w:hanging="2"/>
        <w:jc w:val="both"/>
      </w:pPr>
    </w:p>
    <w:p w14:paraId="2758F9CB" w14:textId="77777777" w:rsidR="001651AF" w:rsidRPr="005534CB" w:rsidRDefault="001651AF" w:rsidP="00F10A81">
      <w:pPr>
        <w:ind w:leftChars="0" w:left="0" w:firstLineChars="0" w:firstLine="0"/>
        <w:jc w:val="both"/>
        <w:rPr>
          <w:b/>
          <w:bCs/>
        </w:rPr>
      </w:pPr>
      <w:r w:rsidRPr="005534CB">
        <w:rPr>
          <w:b/>
          <w:bCs/>
        </w:rPr>
        <w:lastRenderedPageBreak/>
        <w:t>¿Cómo declarar las ganancias de apuestas deportivas en nuestra declaración de la renta?</w:t>
      </w:r>
    </w:p>
    <w:p w14:paraId="13ED0DB1" w14:textId="5D5BCE98" w:rsidR="001651AF" w:rsidRDefault="001651AF" w:rsidP="005534CB">
      <w:pPr>
        <w:ind w:left="0" w:hanging="2"/>
        <w:jc w:val="both"/>
      </w:pPr>
    </w:p>
    <w:p w14:paraId="26117C74" w14:textId="20276B70" w:rsidR="007325BE" w:rsidRDefault="007325BE" w:rsidP="005534CB">
      <w:pPr>
        <w:ind w:left="0" w:hanging="2"/>
        <w:jc w:val="both"/>
      </w:pPr>
      <w:r>
        <w:t xml:space="preserve">Un dato importante es que </w:t>
      </w:r>
      <w:r w:rsidRPr="00A4218D">
        <w:rPr>
          <w:b/>
          <w:bCs/>
        </w:rPr>
        <w:t>lo que debe constar en la declaración de la renta son las ganancias netas</w:t>
      </w:r>
      <w:r>
        <w:t>. Es decir, si hemos invertido 6.000 euros en apuestas deportivas y hemos ganado 10.000, declararemos solo las ganancias totales, es decir, 4.000 euros, que son los beneficios que realmente hemos obtenido.</w:t>
      </w:r>
    </w:p>
    <w:p w14:paraId="00780657" w14:textId="2351716B" w:rsidR="007325BE" w:rsidRDefault="007325BE" w:rsidP="007325BE">
      <w:pPr>
        <w:ind w:leftChars="0" w:left="0" w:firstLineChars="0" w:firstLine="0"/>
        <w:jc w:val="both"/>
      </w:pPr>
    </w:p>
    <w:p w14:paraId="0678E586" w14:textId="6C79AC29" w:rsidR="007325BE" w:rsidRDefault="007325BE" w:rsidP="007325BE">
      <w:pPr>
        <w:ind w:leftChars="0" w:left="0" w:firstLineChars="0" w:firstLine="0"/>
        <w:jc w:val="both"/>
      </w:pPr>
      <w:r>
        <w:t>En el caso de los bonos que muchas veces regalan las casas de apuestas a sus clientes, hay que tener en cuenta que esos bonos regalo también computan para el cálculo de la ganancia patrimonial generada ese año. Por tanto, si hemos recibido un bono de 200 euros y gracias a ese regalo, hemos conseguido ganar 2.000 euros, tendríamos que tributar por un total de 2.200 euros</w:t>
      </w:r>
      <w:r w:rsidR="00F10A81">
        <w:t>, según informan desde TaxDown.</w:t>
      </w:r>
    </w:p>
    <w:p w14:paraId="56D5A0C5" w14:textId="6DEF5F75" w:rsidR="005534CB" w:rsidRDefault="005534CB" w:rsidP="001651AF">
      <w:pPr>
        <w:ind w:leftChars="0" w:left="0" w:firstLineChars="0" w:firstLine="0"/>
        <w:jc w:val="both"/>
      </w:pPr>
    </w:p>
    <w:p w14:paraId="132E0A49" w14:textId="2A7F2683" w:rsidR="00C43AA1" w:rsidRDefault="00C43AA1" w:rsidP="001651AF">
      <w:pPr>
        <w:ind w:leftChars="0" w:left="0" w:firstLineChars="0" w:firstLine="0"/>
        <w:jc w:val="both"/>
      </w:pPr>
      <w:r>
        <w:t>En cuanto a la casilla a completar en nuestra declaración, lo</w:t>
      </w:r>
      <w:r w:rsidRPr="00C43AA1">
        <w:t xml:space="preserve">s beneficios que </w:t>
      </w:r>
      <w:r>
        <w:t>hayamos</w:t>
      </w:r>
      <w:r w:rsidRPr="00C43AA1">
        <w:t xml:space="preserve"> obtenido mediante </w:t>
      </w:r>
      <w:r w:rsidRPr="00A4218D">
        <w:rPr>
          <w:b/>
          <w:bCs/>
        </w:rPr>
        <w:t>las apuestas deportivas se tienen que incluir en la casilla 282 del borrador. Si se han obtenido recompensas en otros juegos de azar y de casino, se deben incorporar a la casilla 290</w:t>
      </w:r>
      <w:r>
        <w:t>.</w:t>
      </w:r>
    </w:p>
    <w:p w14:paraId="71B8D7D0" w14:textId="77777777" w:rsidR="009865AC" w:rsidRPr="009865AC" w:rsidRDefault="009865AC" w:rsidP="005534CB">
      <w:pPr>
        <w:ind w:leftChars="0" w:left="0" w:firstLineChars="0" w:firstLine="0"/>
        <w:jc w:val="both"/>
        <w:rPr>
          <w:b/>
          <w:bCs/>
        </w:rPr>
      </w:pPr>
    </w:p>
    <w:p w14:paraId="305FD6F4" w14:textId="726CE10E" w:rsidR="009865AC" w:rsidRPr="009865AC" w:rsidRDefault="009865AC" w:rsidP="00410980">
      <w:pPr>
        <w:ind w:left="0" w:hanging="2"/>
        <w:jc w:val="both"/>
        <w:rPr>
          <w:b/>
          <w:bCs/>
        </w:rPr>
      </w:pPr>
      <w:r w:rsidRPr="009865AC">
        <w:rPr>
          <w:b/>
          <w:bCs/>
        </w:rPr>
        <w:t xml:space="preserve">Multas y sanciones por no declarar </w:t>
      </w:r>
      <w:r w:rsidR="00F10A81">
        <w:rPr>
          <w:b/>
          <w:bCs/>
        </w:rPr>
        <w:t>nuestras ganancias</w:t>
      </w:r>
      <w:r w:rsidR="00C43AA1">
        <w:rPr>
          <w:b/>
          <w:bCs/>
        </w:rPr>
        <w:t xml:space="preserve"> de apuestas</w:t>
      </w:r>
      <w:r w:rsidR="00F10A81">
        <w:rPr>
          <w:b/>
          <w:bCs/>
        </w:rPr>
        <w:t xml:space="preserve"> online</w:t>
      </w:r>
    </w:p>
    <w:p w14:paraId="2203556A" w14:textId="77777777" w:rsidR="0093107F" w:rsidRDefault="0093107F">
      <w:pPr>
        <w:ind w:left="0" w:hanging="2"/>
        <w:jc w:val="both"/>
      </w:pPr>
    </w:p>
    <w:p w14:paraId="66EC7E32" w14:textId="491A5907" w:rsidR="00E956AF" w:rsidRDefault="00D656CC" w:rsidP="004E14F5">
      <w:pPr>
        <w:ind w:left="0" w:hanging="2"/>
        <w:jc w:val="both"/>
      </w:pPr>
      <w:r>
        <w:t xml:space="preserve">Los contribuyentes </w:t>
      </w:r>
      <w:r w:rsidR="00C1562F">
        <w:t xml:space="preserve">que </w:t>
      </w:r>
      <w:r>
        <w:t>no incluyan est</w:t>
      </w:r>
      <w:r w:rsidR="00211169">
        <w:t>e tipo de</w:t>
      </w:r>
      <w:r>
        <w:t xml:space="preserve"> </w:t>
      </w:r>
      <w:r w:rsidR="00F10A81">
        <w:t>ganancias</w:t>
      </w:r>
      <w:r>
        <w:t xml:space="preserve"> en su declaración de la renta </w:t>
      </w:r>
      <w:r w:rsidR="00351E3B">
        <w:t>se enfrentan a que Hacienda</w:t>
      </w:r>
      <w:r w:rsidRPr="00D656CC">
        <w:t xml:space="preserve"> inici</w:t>
      </w:r>
      <w:r w:rsidR="00351E3B">
        <w:t>e</w:t>
      </w:r>
      <w:r w:rsidRPr="00D656CC">
        <w:t xml:space="preserve"> un procedimiento para comprobar </w:t>
      </w:r>
      <w:r w:rsidR="00351E3B">
        <w:t>esa</w:t>
      </w:r>
      <w:r w:rsidRPr="00D656CC">
        <w:t xml:space="preserve"> declaración </w:t>
      </w:r>
      <w:r w:rsidR="00351E3B">
        <w:t>y</w:t>
      </w:r>
      <w:r w:rsidR="00B43F55">
        <w:t xml:space="preserve">, </w:t>
      </w:r>
      <w:r w:rsidR="00E956AF">
        <w:t>que sean ellos los que los añadan</w:t>
      </w:r>
      <w:r w:rsidR="004E14F5">
        <w:t xml:space="preserve"> de manera proactiva. </w:t>
      </w:r>
    </w:p>
    <w:p w14:paraId="63A2C219" w14:textId="77777777" w:rsidR="00E956AF" w:rsidRDefault="00E956AF" w:rsidP="004E14F5">
      <w:pPr>
        <w:ind w:left="0" w:hanging="2"/>
        <w:jc w:val="both"/>
      </w:pPr>
    </w:p>
    <w:p w14:paraId="785FD871" w14:textId="6BB15130" w:rsidR="00D656CC" w:rsidRDefault="00D656CC" w:rsidP="004E14F5">
      <w:pPr>
        <w:ind w:left="0" w:hanging="2"/>
        <w:jc w:val="both"/>
      </w:pPr>
      <w:r>
        <w:t>De esta forma, corregir</w:t>
      </w:r>
      <w:r w:rsidR="00E956AF">
        <w:t>án</w:t>
      </w:r>
      <w:r>
        <w:t xml:space="preserve"> el resultado de la declaración y </w:t>
      </w:r>
      <w:r w:rsidR="004E14F5">
        <w:t>ser</w:t>
      </w:r>
      <w:r w:rsidR="00211169">
        <w:t>á</w:t>
      </w:r>
      <w:r w:rsidR="004E14F5">
        <w:t xml:space="preserve"> necesario</w:t>
      </w:r>
      <w:r>
        <w:t xml:space="preserve"> pagar la diferencia. </w:t>
      </w:r>
      <w:proofErr w:type="gramStart"/>
      <w:r w:rsidR="004E14F5">
        <w:t>Ese importe</w:t>
      </w:r>
      <w:r>
        <w:t xml:space="preserve"> a pagar</w:t>
      </w:r>
      <w:proofErr w:type="gramEnd"/>
      <w:r>
        <w:t xml:space="preserve"> </w:t>
      </w:r>
      <w:r w:rsidR="004E14F5">
        <w:t xml:space="preserve">conllevará </w:t>
      </w:r>
      <w:r w:rsidRPr="00A4218D">
        <w:rPr>
          <w:b/>
          <w:bCs/>
        </w:rPr>
        <w:t xml:space="preserve">un </w:t>
      </w:r>
      <w:r w:rsidR="00FD6FE0">
        <w:rPr>
          <w:b/>
          <w:bCs/>
        </w:rPr>
        <w:t>3,75</w:t>
      </w:r>
      <w:r w:rsidRPr="00A4218D">
        <w:rPr>
          <w:b/>
          <w:bCs/>
        </w:rPr>
        <w:t xml:space="preserve">% de intereses de demora si no </w:t>
      </w:r>
      <w:r w:rsidR="004E14F5" w:rsidRPr="00A4218D">
        <w:rPr>
          <w:b/>
          <w:bCs/>
        </w:rPr>
        <w:t>se paga</w:t>
      </w:r>
      <w:r w:rsidRPr="00A4218D">
        <w:rPr>
          <w:b/>
          <w:bCs/>
        </w:rPr>
        <w:t xml:space="preserve"> en</w:t>
      </w:r>
      <w:r w:rsidR="004E14F5" w:rsidRPr="00A4218D">
        <w:rPr>
          <w:b/>
          <w:bCs/>
        </w:rPr>
        <w:t xml:space="preserve"> el</w:t>
      </w:r>
      <w:r w:rsidRPr="00A4218D">
        <w:rPr>
          <w:b/>
          <w:bCs/>
        </w:rPr>
        <w:t xml:space="preserve"> plazo</w:t>
      </w:r>
      <w:r w:rsidR="004E14F5" w:rsidRPr="00A4218D">
        <w:rPr>
          <w:b/>
          <w:bCs/>
        </w:rPr>
        <w:t xml:space="preserve"> estipulado por Hacienda</w:t>
      </w:r>
      <w:r w:rsidR="004E14F5">
        <w:t xml:space="preserve">. Si </w:t>
      </w:r>
      <w:r w:rsidR="00871C28">
        <w:t xml:space="preserve">el contribuyente se excede en el plazo, este porcentaje irá aumentando. </w:t>
      </w:r>
      <w:r>
        <w:t xml:space="preserve">Además, </w:t>
      </w:r>
      <w:r w:rsidR="00871C28">
        <w:t xml:space="preserve">Hacienda </w:t>
      </w:r>
      <w:r w:rsidR="00E956AF">
        <w:t xml:space="preserve">en algunos casos </w:t>
      </w:r>
      <w:r>
        <w:t>podría</w:t>
      </w:r>
      <w:r w:rsidR="00E956AF">
        <w:t xml:space="preserve"> </w:t>
      </w:r>
      <w:r>
        <w:t>iniciar</w:t>
      </w:r>
      <w:r w:rsidR="00487DA1">
        <w:t xml:space="preserve"> incluso</w:t>
      </w:r>
      <w:r>
        <w:t xml:space="preserve"> </w:t>
      </w:r>
      <w:hyperlink r:id="rId14" w:history="1">
        <w:r w:rsidRPr="00AA7C85">
          <w:rPr>
            <w:rStyle w:val="Hipervnculo"/>
          </w:rPr>
          <w:t>un procedimiento sancionador</w:t>
        </w:r>
      </w:hyperlink>
      <w:r>
        <w:t xml:space="preserve"> por haberlo declarado incorrectamente con una multa que podría llegar al 50% de lo dejado de ingresar.</w:t>
      </w:r>
    </w:p>
    <w:p w14:paraId="61A29CD7" w14:textId="77777777" w:rsidR="00C25D4E" w:rsidRPr="00AB3EFE" w:rsidRDefault="00C25D4E" w:rsidP="004E14F5">
      <w:pPr>
        <w:ind w:left="0" w:hanging="2"/>
        <w:jc w:val="both"/>
        <w:rPr>
          <w:b/>
          <w:bCs/>
        </w:rPr>
      </w:pPr>
    </w:p>
    <w:p w14:paraId="530939FF" w14:textId="6644FB71" w:rsidR="001162AE" w:rsidRPr="00F10A81" w:rsidRDefault="00CD5608" w:rsidP="00F10A81">
      <w:pPr>
        <w:ind w:left="0" w:hanging="2"/>
        <w:jc w:val="both"/>
        <w:rPr>
          <w:i/>
        </w:rPr>
      </w:pPr>
      <w:r>
        <w:t>“</w:t>
      </w:r>
      <w:r w:rsidR="00B21591">
        <w:rPr>
          <w:i/>
        </w:rPr>
        <w:t xml:space="preserve">Es importante saber cómo declarar correctamente nuestras </w:t>
      </w:r>
      <w:r w:rsidR="00F10A81">
        <w:rPr>
          <w:i/>
        </w:rPr>
        <w:t xml:space="preserve">ganancias patrimoniales </w:t>
      </w:r>
      <w:r w:rsidR="00B21591">
        <w:rPr>
          <w:i/>
        </w:rPr>
        <w:t xml:space="preserve">en la declaración de la renta, </w:t>
      </w:r>
      <w:r w:rsidR="00F10A81">
        <w:rPr>
          <w:i/>
        </w:rPr>
        <w:t xml:space="preserve">aunque se trate de aquellas que hemos obtenido con algún juego online </w:t>
      </w:r>
      <w:proofErr w:type="gramStart"/>
      <w:r w:rsidR="00F10A81">
        <w:rPr>
          <w:i/>
        </w:rPr>
        <w:t>como  las</w:t>
      </w:r>
      <w:proofErr w:type="gramEnd"/>
      <w:r w:rsidR="00F10A81">
        <w:rPr>
          <w:i/>
        </w:rPr>
        <w:t xml:space="preserve"> apuestas deportivas</w:t>
      </w:r>
      <w:r w:rsidR="005C344C">
        <w:rPr>
          <w:i/>
        </w:rPr>
        <w:t xml:space="preserve">. En el caso de declararlas de manera errónea, nos enfrentamos a </w:t>
      </w:r>
      <w:r w:rsidR="005C344C" w:rsidRPr="0778BD82">
        <w:rPr>
          <w:i/>
          <w:iCs/>
        </w:rPr>
        <w:t>pagos de intereses de demora</w:t>
      </w:r>
      <w:r w:rsidR="005C344C">
        <w:rPr>
          <w:i/>
        </w:rPr>
        <w:t xml:space="preserve"> o incluso a un </w:t>
      </w:r>
      <w:r w:rsidR="005C344C" w:rsidRPr="0778BD82">
        <w:rPr>
          <w:i/>
          <w:iCs/>
        </w:rPr>
        <w:t>procedimiento</w:t>
      </w:r>
      <w:r w:rsidR="005C344C">
        <w:rPr>
          <w:i/>
        </w:rPr>
        <w:t xml:space="preserve"> sancionador por parte de Hacienda</w:t>
      </w:r>
      <w:r>
        <w:t xml:space="preserve">” afirma Enrique García, CEO y </w:t>
      </w:r>
      <w:r w:rsidR="00731915">
        <w:t>cof</w:t>
      </w:r>
      <w:r>
        <w:t>undador de TaxDown</w:t>
      </w:r>
      <w:r w:rsidR="00B21591">
        <w:t>.</w:t>
      </w:r>
    </w:p>
    <w:p w14:paraId="76FAA77B" w14:textId="77777777" w:rsidR="008C2BD5" w:rsidRDefault="008C2BD5">
      <w:pPr>
        <w:ind w:left="0" w:hanging="2"/>
        <w:jc w:val="both"/>
      </w:pPr>
    </w:p>
    <w:p w14:paraId="3A727210" w14:textId="77777777" w:rsidR="004105AC" w:rsidRDefault="004105AC">
      <w:pPr>
        <w:ind w:left="0" w:hanging="2"/>
        <w:jc w:val="both"/>
      </w:pPr>
    </w:p>
    <w:p w14:paraId="53093A02" w14:textId="77777777" w:rsidR="001162AE" w:rsidRDefault="00CD5608">
      <w:pPr>
        <w:ind w:left="0" w:hanging="2"/>
        <w:rPr>
          <w:color w:val="999999"/>
        </w:rPr>
      </w:pPr>
      <w:r>
        <w:rPr>
          <w:b/>
          <w:i/>
          <w:color w:val="999999"/>
        </w:rPr>
        <w:t>Sobre TaxDown</w:t>
      </w:r>
    </w:p>
    <w:p w14:paraId="53093A03" w14:textId="77777777" w:rsidR="001162AE" w:rsidRDefault="001162AE">
      <w:pPr>
        <w:ind w:left="0" w:hanging="2"/>
        <w:rPr>
          <w:color w:val="999999"/>
          <w:u w:val="single"/>
        </w:rPr>
      </w:pPr>
    </w:p>
    <w:p w14:paraId="53093A04" w14:textId="77777777" w:rsidR="001162AE" w:rsidRDefault="00CD5608">
      <w:pPr>
        <w:spacing w:after="140"/>
        <w:ind w:left="0" w:hanging="2"/>
        <w:jc w:val="both"/>
        <w:rPr>
          <w:i/>
        </w:rPr>
      </w:pPr>
      <w:r>
        <w:rPr>
          <w:i/>
        </w:rPr>
        <w:t>TaxDown es la alternativa inteligente para la renta. Somos una compañía española que ha revolucionado la asesoría fiscal, poniendo en el mercado un servicio digital pionero que permite realizar la declaración de la renta, de forma sencilla, garantizando al contribuyente el mejor resultado.</w:t>
      </w:r>
    </w:p>
    <w:p w14:paraId="53093A05" w14:textId="48451FE9" w:rsidR="001162AE" w:rsidRDefault="00CD5608">
      <w:pPr>
        <w:spacing w:after="140"/>
        <w:ind w:left="0" w:hanging="2"/>
        <w:jc w:val="both"/>
        <w:rPr>
          <w:rFonts w:ascii="Arial" w:eastAsia="Arial" w:hAnsi="Arial" w:cs="Arial"/>
          <w:b/>
          <w:sz w:val="20"/>
          <w:szCs w:val="20"/>
        </w:rPr>
      </w:pPr>
      <w:r>
        <w:rPr>
          <w:i/>
        </w:rPr>
        <w:t>En TaxDown presentamos cientos de miles de declaraciones bien hechas cada año a través de nuestra propia plataforma</w:t>
      </w:r>
      <w:r w:rsidR="006E026B">
        <w:rPr>
          <w:i/>
        </w:rPr>
        <w:t xml:space="preserve"> y</w:t>
      </w:r>
      <w:r>
        <w:rPr>
          <w:i/>
        </w:rPr>
        <w:t xml:space="preserve"> ahorramos</w:t>
      </w:r>
      <w:r w:rsidR="006E026B">
        <w:rPr>
          <w:i/>
        </w:rPr>
        <w:t xml:space="preserve"> así</w:t>
      </w:r>
      <w:r>
        <w:rPr>
          <w:i/>
        </w:rPr>
        <w:t xml:space="preserve"> más de </w:t>
      </w:r>
      <w:r w:rsidR="00470919">
        <w:rPr>
          <w:i/>
        </w:rPr>
        <w:t>3</w:t>
      </w:r>
      <w:r w:rsidR="006E026B">
        <w:rPr>
          <w:i/>
        </w:rPr>
        <w:t>5</w:t>
      </w:r>
      <w:r>
        <w:rPr>
          <w:i/>
        </w:rPr>
        <w:t xml:space="preserve"> millones de euros </w:t>
      </w:r>
      <w:r w:rsidR="006E026B">
        <w:rPr>
          <w:i/>
        </w:rPr>
        <w:t>a los contribuyentes</w:t>
      </w:r>
      <w:r>
        <w:rPr>
          <w:i/>
        </w:rPr>
        <w:t xml:space="preserve"> de manera oficial, ya que somos colaboradores </w:t>
      </w:r>
      <w:r w:rsidR="006E026B">
        <w:rPr>
          <w:i/>
        </w:rPr>
        <w:t xml:space="preserve">sociales </w:t>
      </w:r>
      <w:r>
        <w:rPr>
          <w:i/>
        </w:rPr>
        <w:t>de la Agencia Tributaria.</w:t>
      </w:r>
    </w:p>
    <w:p w14:paraId="53093A06" w14:textId="77777777" w:rsidR="001162AE" w:rsidRDefault="001162AE">
      <w:pPr>
        <w:spacing w:after="140"/>
        <w:ind w:left="0" w:hanging="2"/>
        <w:jc w:val="both"/>
        <w:rPr>
          <w:i/>
        </w:rPr>
      </w:pPr>
    </w:p>
    <w:p w14:paraId="3144606C" w14:textId="77777777" w:rsidR="00D9275B" w:rsidRDefault="00D9275B" w:rsidP="00D9275B">
      <w:pPr>
        <w:ind w:left="0" w:hanging="2"/>
        <w:jc w:val="center"/>
        <w:rPr>
          <w:color w:val="70AD47"/>
          <w:sz w:val="24"/>
          <w:szCs w:val="24"/>
        </w:rPr>
      </w:pPr>
      <w:r>
        <w:rPr>
          <w:color w:val="70AD47"/>
          <w:sz w:val="24"/>
          <w:szCs w:val="24"/>
        </w:rPr>
        <w:lastRenderedPageBreak/>
        <w:t># # #</w:t>
      </w:r>
    </w:p>
    <w:p w14:paraId="53093A08" w14:textId="77777777" w:rsidR="001162AE" w:rsidRDefault="001162AE" w:rsidP="00D9275B">
      <w:pPr>
        <w:ind w:leftChars="0" w:left="0" w:firstLineChars="0" w:firstLine="0"/>
        <w:jc w:val="both"/>
      </w:pPr>
    </w:p>
    <w:p w14:paraId="53093A09" w14:textId="77777777" w:rsidR="001162AE" w:rsidRDefault="001162AE">
      <w:pPr>
        <w:ind w:left="0" w:hanging="2"/>
        <w:jc w:val="both"/>
      </w:pPr>
    </w:p>
    <w:p w14:paraId="53093A0A" w14:textId="77777777" w:rsidR="001162AE" w:rsidRDefault="00CD5608">
      <w:pPr>
        <w:ind w:left="0" w:hanging="2"/>
        <w:jc w:val="center"/>
        <w:rPr>
          <w:b/>
        </w:rPr>
      </w:pPr>
      <w:r>
        <w:rPr>
          <w:b/>
        </w:rPr>
        <w:t>Para más información o solicitud de entrevistas:</w:t>
      </w:r>
    </w:p>
    <w:p w14:paraId="53093A11" w14:textId="77777777" w:rsidR="001162AE" w:rsidRDefault="001162AE" w:rsidP="00D9275B">
      <w:pPr>
        <w:ind w:leftChars="0" w:left="0" w:firstLineChars="0" w:firstLine="0"/>
        <w:rPr>
          <w:color w:val="70AD47"/>
          <w:sz w:val="24"/>
          <w:szCs w:val="24"/>
        </w:rPr>
      </w:pPr>
    </w:p>
    <w:p w14:paraId="53093A12" w14:textId="77777777" w:rsidR="001162AE" w:rsidRPr="00E540D9" w:rsidRDefault="00CD5608">
      <w:pPr>
        <w:ind w:left="0" w:hanging="2"/>
        <w:jc w:val="center"/>
        <w:rPr>
          <w:lang w:val="en-US"/>
        </w:rPr>
      </w:pPr>
      <w:r w:rsidRPr="00E540D9">
        <w:rPr>
          <w:lang w:val="en-US"/>
        </w:rPr>
        <w:t xml:space="preserve">Esther </w:t>
      </w:r>
      <w:proofErr w:type="spellStart"/>
      <w:r w:rsidRPr="00E540D9">
        <w:rPr>
          <w:lang w:val="en-US"/>
        </w:rPr>
        <w:t>Maroto</w:t>
      </w:r>
      <w:proofErr w:type="spellEnd"/>
    </w:p>
    <w:p w14:paraId="53093A13" w14:textId="77777777" w:rsidR="001162AE" w:rsidRPr="00E540D9" w:rsidRDefault="00234F47">
      <w:pPr>
        <w:ind w:left="0" w:hanging="2"/>
        <w:jc w:val="center"/>
        <w:rPr>
          <w:lang w:val="en-US"/>
        </w:rPr>
      </w:pPr>
      <w:hyperlink r:id="rId15">
        <w:r w:rsidR="00CD5608" w:rsidRPr="00E540D9">
          <w:rPr>
            <w:color w:val="0563C1"/>
            <w:u w:val="single"/>
            <w:lang w:val="en-US"/>
          </w:rPr>
          <w:t>esther@taxdown.es</w:t>
        </w:r>
      </w:hyperlink>
    </w:p>
    <w:p w14:paraId="53093A14" w14:textId="77777777" w:rsidR="001162AE" w:rsidRPr="00E540D9" w:rsidRDefault="00CD5608">
      <w:pPr>
        <w:ind w:left="0" w:hanging="2"/>
        <w:jc w:val="center"/>
        <w:rPr>
          <w:rFonts w:ascii="Arial" w:eastAsia="Arial" w:hAnsi="Arial" w:cs="Arial"/>
          <w:b/>
          <w:sz w:val="20"/>
          <w:szCs w:val="20"/>
          <w:lang w:val="en-US"/>
        </w:rPr>
      </w:pPr>
      <w:r w:rsidRPr="00E540D9">
        <w:rPr>
          <w:lang w:val="en-US"/>
        </w:rPr>
        <w:t>678 341 700</w:t>
      </w:r>
    </w:p>
    <w:p w14:paraId="53093A15" w14:textId="77777777" w:rsidR="001162AE" w:rsidRPr="00E540D9" w:rsidRDefault="001162AE">
      <w:pPr>
        <w:ind w:left="0" w:hanging="2"/>
        <w:rPr>
          <w:rFonts w:ascii="Arial" w:eastAsia="Arial" w:hAnsi="Arial" w:cs="Arial"/>
          <w:sz w:val="20"/>
          <w:szCs w:val="20"/>
          <w:lang w:val="en-US"/>
        </w:rPr>
      </w:pPr>
    </w:p>
    <w:p w14:paraId="53093A16" w14:textId="77777777" w:rsidR="001162AE" w:rsidRPr="00E540D9" w:rsidRDefault="001162AE">
      <w:pPr>
        <w:ind w:left="0" w:hanging="2"/>
        <w:rPr>
          <w:rFonts w:ascii="Arial" w:eastAsia="Arial" w:hAnsi="Arial" w:cs="Arial"/>
          <w:sz w:val="20"/>
          <w:szCs w:val="20"/>
          <w:lang w:val="en-US"/>
        </w:rPr>
      </w:pPr>
    </w:p>
    <w:p w14:paraId="53093A18" w14:textId="77777777" w:rsidR="001162AE" w:rsidRPr="00E540D9" w:rsidRDefault="001162AE" w:rsidP="00D37D4D">
      <w:pPr>
        <w:ind w:leftChars="0" w:left="0" w:firstLineChars="0" w:firstLine="0"/>
        <w:rPr>
          <w:color w:val="70AD47"/>
          <w:lang w:val="en-US"/>
        </w:rPr>
      </w:pPr>
    </w:p>
    <w:sectPr w:rsidR="001162AE" w:rsidRPr="00E540D9">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5A5F" w14:textId="77777777" w:rsidR="00DE5166" w:rsidRDefault="00DE5166">
      <w:pPr>
        <w:spacing w:line="240" w:lineRule="auto"/>
        <w:ind w:left="0" w:hanging="2"/>
      </w:pPr>
      <w:r>
        <w:separator/>
      </w:r>
    </w:p>
  </w:endnote>
  <w:endnote w:type="continuationSeparator" w:id="0">
    <w:p w14:paraId="23750C19" w14:textId="77777777" w:rsidR="00DE5166" w:rsidRDefault="00DE5166">
      <w:pPr>
        <w:spacing w:line="240" w:lineRule="auto"/>
        <w:ind w:left="0" w:hanging="2"/>
      </w:pPr>
      <w:r>
        <w:continuationSeparator/>
      </w:r>
    </w:p>
  </w:endnote>
  <w:endnote w:type="continuationNotice" w:id="1">
    <w:p w14:paraId="15FDD34C" w14:textId="77777777" w:rsidR="00DE5166" w:rsidRDefault="00DE5166">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A1B" w14:textId="77777777" w:rsidR="001162AE" w:rsidRDefault="001162A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A1C" w14:textId="77777777" w:rsidR="001162AE" w:rsidRDefault="001162AE">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A1E" w14:textId="77777777" w:rsidR="001162AE" w:rsidRDefault="001162A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1A93" w14:textId="77777777" w:rsidR="00DE5166" w:rsidRDefault="00DE5166">
      <w:pPr>
        <w:spacing w:line="240" w:lineRule="auto"/>
        <w:ind w:left="0" w:hanging="2"/>
      </w:pPr>
      <w:r>
        <w:separator/>
      </w:r>
    </w:p>
  </w:footnote>
  <w:footnote w:type="continuationSeparator" w:id="0">
    <w:p w14:paraId="0726441F" w14:textId="77777777" w:rsidR="00DE5166" w:rsidRDefault="00DE5166">
      <w:pPr>
        <w:spacing w:line="240" w:lineRule="auto"/>
        <w:ind w:left="0" w:hanging="2"/>
      </w:pPr>
      <w:r>
        <w:continuationSeparator/>
      </w:r>
    </w:p>
  </w:footnote>
  <w:footnote w:type="continuationNotice" w:id="1">
    <w:p w14:paraId="1C470606" w14:textId="77777777" w:rsidR="00DE5166" w:rsidRDefault="00DE5166">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A19" w14:textId="77777777" w:rsidR="001162AE" w:rsidRDefault="001162A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A1A" w14:textId="77777777" w:rsidR="001162AE" w:rsidRDefault="00CD5608">
    <w:pPr>
      <w:ind w:left="0" w:hanging="2"/>
    </w:pPr>
    <w:r>
      <w:rPr>
        <w:noProof/>
      </w:rPr>
      <w:drawing>
        <wp:anchor distT="0" distB="0" distL="114300" distR="114300" simplePos="0" relativeHeight="251658240" behindDoc="0" locked="0" layoutInCell="1" hidden="0" allowOverlap="1" wp14:anchorId="53093A1F" wp14:editId="53093A20">
          <wp:simplePos x="0" y="0"/>
          <wp:positionH relativeFrom="column">
            <wp:posOffset>4744720</wp:posOffset>
          </wp:positionH>
          <wp:positionV relativeFrom="paragraph">
            <wp:posOffset>-74923</wp:posOffset>
          </wp:positionV>
          <wp:extent cx="1590675" cy="25590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0675" cy="255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A1D" w14:textId="77777777" w:rsidR="001162AE" w:rsidRDefault="001162A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313C"/>
    <w:multiLevelType w:val="multilevel"/>
    <w:tmpl w:val="F9F26AF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38473176"/>
    <w:multiLevelType w:val="hybridMultilevel"/>
    <w:tmpl w:val="8A7C2E18"/>
    <w:lvl w:ilvl="0" w:tplc="040A0001">
      <w:start w:val="1"/>
      <w:numFmt w:val="bullet"/>
      <w:lvlText w:val=""/>
      <w:lvlJc w:val="left"/>
      <w:pPr>
        <w:ind w:left="718" w:hanging="360"/>
      </w:pPr>
      <w:rPr>
        <w:rFonts w:ascii="Symbol" w:hAnsi="Symbol" w:hint="default"/>
      </w:rPr>
    </w:lvl>
    <w:lvl w:ilvl="1" w:tplc="040A0003" w:tentative="1">
      <w:start w:val="1"/>
      <w:numFmt w:val="bullet"/>
      <w:lvlText w:val="o"/>
      <w:lvlJc w:val="left"/>
      <w:pPr>
        <w:ind w:left="1438" w:hanging="360"/>
      </w:pPr>
      <w:rPr>
        <w:rFonts w:ascii="Courier New" w:hAnsi="Courier New" w:cs="Courier New" w:hint="default"/>
      </w:rPr>
    </w:lvl>
    <w:lvl w:ilvl="2" w:tplc="040A0005" w:tentative="1">
      <w:start w:val="1"/>
      <w:numFmt w:val="bullet"/>
      <w:lvlText w:val=""/>
      <w:lvlJc w:val="left"/>
      <w:pPr>
        <w:ind w:left="2158" w:hanging="360"/>
      </w:pPr>
      <w:rPr>
        <w:rFonts w:ascii="Wingdings" w:hAnsi="Wingdings" w:hint="default"/>
      </w:rPr>
    </w:lvl>
    <w:lvl w:ilvl="3" w:tplc="040A0001" w:tentative="1">
      <w:start w:val="1"/>
      <w:numFmt w:val="bullet"/>
      <w:lvlText w:val=""/>
      <w:lvlJc w:val="left"/>
      <w:pPr>
        <w:ind w:left="2878" w:hanging="360"/>
      </w:pPr>
      <w:rPr>
        <w:rFonts w:ascii="Symbol" w:hAnsi="Symbol" w:hint="default"/>
      </w:rPr>
    </w:lvl>
    <w:lvl w:ilvl="4" w:tplc="040A0003" w:tentative="1">
      <w:start w:val="1"/>
      <w:numFmt w:val="bullet"/>
      <w:lvlText w:val="o"/>
      <w:lvlJc w:val="left"/>
      <w:pPr>
        <w:ind w:left="3598" w:hanging="360"/>
      </w:pPr>
      <w:rPr>
        <w:rFonts w:ascii="Courier New" w:hAnsi="Courier New" w:cs="Courier New" w:hint="default"/>
      </w:rPr>
    </w:lvl>
    <w:lvl w:ilvl="5" w:tplc="040A0005" w:tentative="1">
      <w:start w:val="1"/>
      <w:numFmt w:val="bullet"/>
      <w:lvlText w:val=""/>
      <w:lvlJc w:val="left"/>
      <w:pPr>
        <w:ind w:left="4318" w:hanging="360"/>
      </w:pPr>
      <w:rPr>
        <w:rFonts w:ascii="Wingdings" w:hAnsi="Wingdings" w:hint="default"/>
      </w:rPr>
    </w:lvl>
    <w:lvl w:ilvl="6" w:tplc="040A0001" w:tentative="1">
      <w:start w:val="1"/>
      <w:numFmt w:val="bullet"/>
      <w:lvlText w:val=""/>
      <w:lvlJc w:val="left"/>
      <w:pPr>
        <w:ind w:left="5038" w:hanging="360"/>
      </w:pPr>
      <w:rPr>
        <w:rFonts w:ascii="Symbol" w:hAnsi="Symbol" w:hint="default"/>
      </w:rPr>
    </w:lvl>
    <w:lvl w:ilvl="7" w:tplc="040A0003" w:tentative="1">
      <w:start w:val="1"/>
      <w:numFmt w:val="bullet"/>
      <w:lvlText w:val="o"/>
      <w:lvlJc w:val="left"/>
      <w:pPr>
        <w:ind w:left="5758" w:hanging="360"/>
      </w:pPr>
      <w:rPr>
        <w:rFonts w:ascii="Courier New" w:hAnsi="Courier New" w:cs="Courier New" w:hint="default"/>
      </w:rPr>
    </w:lvl>
    <w:lvl w:ilvl="8" w:tplc="040A0005" w:tentative="1">
      <w:start w:val="1"/>
      <w:numFmt w:val="bullet"/>
      <w:lvlText w:val=""/>
      <w:lvlJc w:val="left"/>
      <w:pPr>
        <w:ind w:left="6478" w:hanging="360"/>
      </w:pPr>
      <w:rPr>
        <w:rFonts w:ascii="Wingdings" w:hAnsi="Wingdings" w:hint="default"/>
      </w:rPr>
    </w:lvl>
  </w:abstractNum>
  <w:num w:numId="1" w16cid:durableId="1337999572">
    <w:abstractNumId w:val="0"/>
  </w:num>
  <w:num w:numId="2" w16cid:durableId="393895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AE"/>
    <w:rsid w:val="00021732"/>
    <w:rsid w:val="00032A28"/>
    <w:rsid w:val="00035F7B"/>
    <w:rsid w:val="00064CF4"/>
    <w:rsid w:val="00072213"/>
    <w:rsid w:val="00097801"/>
    <w:rsid w:val="000E2921"/>
    <w:rsid w:val="000F03C4"/>
    <w:rsid w:val="00102828"/>
    <w:rsid w:val="001162AE"/>
    <w:rsid w:val="001651AF"/>
    <w:rsid w:val="001A5D07"/>
    <w:rsid w:val="001B0C5D"/>
    <w:rsid w:val="001C0697"/>
    <w:rsid w:val="001F2FA2"/>
    <w:rsid w:val="001F6681"/>
    <w:rsid w:val="00211169"/>
    <w:rsid w:val="00234F47"/>
    <w:rsid w:val="002360B9"/>
    <w:rsid w:val="0024636B"/>
    <w:rsid w:val="00283793"/>
    <w:rsid w:val="002C3227"/>
    <w:rsid w:val="002C6D50"/>
    <w:rsid w:val="002F566B"/>
    <w:rsid w:val="003012B8"/>
    <w:rsid w:val="00351E3B"/>
    <w:rsid w:val="003B2809"/>
    <w:rsid w:val="003C2F90"/>
    <w:rsid w:val="003D3752"/>
    <w:rsid w:val="004007AC"/>
    <w:rsid w:val="004105AC"/>
    <w:rsid w:val="00410980"/>
    <w:rsid w:val="0041799E"/>
    <w:rsid w:val="00422DBA"/>
    <w:rsid w:val="0043024C"/>
    <w:rsid w:val="00432FFF"/>
    <w:rsid w:val="00470919"/>
    <w:rsid w:val="004866C4"/>
    <w:rsid w:val="00487DA1"/>
    <w:rsid w:val="004D72E4"/>
    <w:rsid w:val="004E14F5"/>
    <w:rsid w:val="004E616F"/>
    <w:rsid w:val="004F3403"/>
    <w:rsid w:val="004F3D25"/>
    <w:rsid w:val="00530F64"/>
    <w:rsid w:val="0053137D"/>
    <w:rsid w:val="005328A9"/>
    <w:rsid w:val="00545FE0"/>
    <w:rsid w:val="00552296"/>
    <w:rsid w:val="005534CB"/>
    <w:rsid w:val="005557EB"/>
    <w:rsid w:val="00576E4B"/>
    <w:rsid w:val="005A6CDC"/>
    <w:rsid w:val="005C344C"/>
    <w:rsid w:val="006002BC"/>
    <w:rsid w:val="00601BF3"/>
    <w:rsid w:val="006373CE"/>
    <w:rsid w:val="00651F49"/>
    <w:rsid w:val="006860F2"/>
    <w:rsid w:val="006C0201"/>
    <w:rsid w:val="006C04C3"/>
    <w:rsid w:val="006C7697"/>
    <w:rsid w:val="006E026B"/>
    <w:rsid w:val="00706430"/>
    <w:rsid w:val="00710B5E"/>
    <w:rsid w:val="00730209"/>
    <w:rsid w:val="00731915"/>
    <w:rsid w:val="007325BE"/>
    <w:rsid w:val="00794C0F"/>
    <w:rsid w:val="007A1D25"/>
    <w:rsid w:val="007A69A1"/>
    <w:rsid w:val="00805603"/>
    <w:rsid w:val="00871C28"/>
    <w:rsid w:val="008772D8"/>
    <w:rsid w:val="00887EDF"/>
    <w:rsid w:val="008C2BD5"/>
    <w:rsid w:val="008C6C58"/>
    <w:rsid w:val="008D7226"/>
    <w:rsid w:val="00910C1E"/>
    <w:rsid w:val="009118D7"/>
    <w:rsid w:val="0092067B"/>
    <w:rsid w:val="0093107F"/>
    <w:rsid w:val="00963935"/>
    <w:rsid w:val="009655E5"/>
    <w:rsid w:val="009865AC"/>
    <w:rsid w:val="009A4F60"/>
    <w:rsid w:val="009E64B3"/>
    <w:rsid w:val="00A079C6"/>
    <w:rsid w:val="00A1301E"/>
    <w:rsid w:val="00A226AD"/>
    <w:rsid w:val="00A3072A"/>
    <w:rsid w:val="00A4218D"/>
    <w:rsid w:val="00A8221C"/>
    <w:rsid w:val="00AA7C85"/>
    <w:rsid w:val="00AB3EFE"/>
    <w:rsid w:val="00AC0174"/>
    <w:rsid w:val="00AC32B9"/>
    <w:rsid w:val="00AC7172"/>
    <w:rsid w:val="00AE1D07"/>
    <w:rsid w:val="00B2123B"/>
    <w:rsid w:val="00B21591"/>
    <w:rsid w:val="00B25FD1"/>
    <w:rsid w:val="00B43F55"/>
    <w:rsid w:val="00B44541"/>
    <w:rsid w:val="00B52A90"/>
    <w:rsid w:val="00B73C07"/>
    <w:rsid w:val="00BC2BFC"/>
    <w:rsid w:val="00BC3F40"/>
    <w:rsid w:val="00BD08B9"/>
    <w:rsid w:val="00BE56E1"/>
    <w:rsid w:val="00C02E18"/>
    <w:rsid w:val="00C032EB"/>
    <w:rsid w:val="00C1562F"/>
    <w:rsid w:val="00C21374"/>
    <w:rsid w:val="00C25D4E"/>
    <w:rsid w:val="00C34698"/>
    <w:rsid w:val="00C43AA1"/>
    <w:rsid w:val="00C507CE"/>
    <w:rsid w:val="00C942B4"/>
    <w:rsid w:val="00CC63C7"/>
    <w:rsid w:val="00CD5608"/>
    <w:rsid w:val="00D23ACC"/>
    <w:rsid w:val="00D35290"/>
    <w:rsid w:val="00D3625C"/>
    <w:rsid w:val="00D37D4D"/>
    <w:rsid w:val="00D507C7"/>
    <w:rsid w:val="00D54B88"/>
    <w:rsid w:val="00D656CC"/>
    <w:rsid w:val="00D9275B"/>
    <w:rsid w:val="00DA2305"/>
    <w:rsid w:val="00DA50D8"/>
    <w:rsid w:val="00DD2D75"/>
    <w:rsid w:val="00DE0461"/>
    <w:rsid w:val="00DE5166"/>
    <w:rsid w:val="00E540D9"/>
    <w:rsid w:val="00E56694"/>
    <w:rsid w:val="00E956AF"/>
    <w:rsid w:val="00F10A81"/>
    <w:rsid w:val="00F42FD0"/>
    <w:rsid w:val="00FA096F"/>
    <w:rsid w:val="00FB7A8D"/>
    <w:rsid w:val="00FD13F2"/>
    <w:rsid w:val="00FD6FE0"/>
    <w:rsid w:val="01754A4C"/>
    <w:rsid w:val="02068D3D"/>
    <w:rsid w:val="056AC6DA"/>
    <w:rsid w:val="0778BD82"/>
    <w:rsid w:val="0997BE26"/>
    <w:rsid w:val="0D754147"/>
    <w:rsid w:val="0EA5762B"/>
    <w:rsid w:val="0F21E7D8"/>
    <w:rsid w:val="18107DF8"/>
    <w:rsid w:val="1AA8954F"/>
    <w:rsid w:val="1ABD6693"/>
    <w:rsid w:val="1C05FA86"/>
    <w:rsid w:val="1FA17C10"/>
    <w:rsid w:val="22399367"/>
    <w:rsid w:val="226690E9"/>
    <w:rsid w:val="250C5742"/>
    <w:rsid w:val="252BA5C2"/>
    <w:rsid w:val="27327A28"/>
    <w:rsid w:val="28BCDCE1"/>
    <w:rsid w:val="290928E3"/>
    <w:rsid w:val="2AB60245"/>
    <w:rsid w:val="2C2F6790"/>
    <w:rsid w:val="309A26FB"/>
    <w:rsid w:val="31F78C32"/>
    <w:rsid w:val="347AD245"/>
    <w:rsid w:val="3582431F"/>
    <w:rsid w:val="38435151"/>
    <w:rsid w:val="39A0B688"/>
    <w:rsid w:val="3AD11E3D"/>
    <w:rsid w:val="3E547389"/>
    <w:rsid w:val="40D49173"/>
    <w:rsid w:val="42F39217"/>
    <w:rsid w:val="45B8A6F0"/>
    <w:rsid w:val="46A3E4E5"/>
    <w:rsid w:val="46D11538"/>
    <w:rsid w:val="487DBBC9"/>
    <w:rsid w:val="49692C8F"/>
    <w:rsid w:val="49C32793"/>
    <w:rsid w:val="49DB2100"/>
    <w:rsid w:val="4A84902F"/>
    <w:rsid w:val="4E08184C"/>
    <w:rsid w:val="4E8F10D2"/>
    <w:rsid w:val="50FA2AA7"/>
    <w:rsid w:val="54046940"/>
    <w:rsid w:val="56380857"/>
    <w:rsid w:val="56C97E19"/>
    <w:rsid w:val="5768700C"/>
    <w:rsid w:val="57CCE84C"/>
    <w:rsid w:val="592A4D83"/>
    <w:rsid w:val="5A6F867C"/>
    <w:rsid w:val="5CF2CC8F"/>
    <w:rsid w:val="6426A77A"/>
    <w:rsid w:val="6645A81E"/>
    <w:rsid w:val="67DB01EA"/>
    <w:rsid w:val="6BCFD1D0"/>
    <w:rsid w:val="6BFCCF52"/>
    <w:rsid w:val="6D2D3707"/>
    <w:rsid w:val="6F070DEB"/>
    <w:rsid w:val="73D6FDD1"/>
    <w:rsid w:val="7ABE8CBA"/>
    <w:rsid w:val="7C3739CA"/>
    <w:rsid w:val="7DC19C8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0939ED"/>
  <w15:docId w15:val="{B195162D-DBCD-4FC2-B8E5-453B6090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uiPriority w:val="9"/>
    <w:semiHidden/>
    <w:unhideWhenUsed/>
    <w:qFormat/>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character" w:customStyle="1" w:styleId="Ttulo6Car">
    <w:name w:val="Título 6 Car"/>
    <w:rPr>
      <w:rFonts w:ascii="Times New Roman" w:eastAsia="Times New Roman" w:hAnsi="Times New Roman" w:cs="Times New Roman"/>
      <w:b/>
      <w:bCs/>
      <w:w w:val="100"/>
      <w:position w:val="-1"/>
      <w:sz w:val="15"/>
      <w:szCs w:val="15"/>
      <w:effect w:val="none"/>
      <w:vertAlign w:val="baseline"/>
      <w:cs w:val="0"/>
      <w:em w:val="none"/>
      <w:lang w:eastAsia="es-ES"/>
    </w:rPr>
  </w:style>
  <w:style w:type="character" w:styleId="Refdecomentario">
    <w:name w:val="annotation reference"/>
    <w:qFormat/>
    <w:rPr>
      <w:w w:val="100"/>
      <w:position w:val="-1"/>
      <w:sz w:val="16"/>
      <w:szCs w:val="16"/>
      <w:effect w:val="none"/>
      <w:vertAlign w:val="baseline"/>
      <w:cs w:val="0"/>
      <w:em w:val="none"/>
    </w:rPr>
  </w:style>
  <w:style w:type="character" w:styleId="nfasis">
    <w:name w:val="Emphasis"/>
    <w:rPr>
      <w:i/>
      <w:iCs/>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Asuntodelcomentario">
    <w:name w:val="annotation subject"/>
    <w:basedOn w:val="Textocomentario"/>
    <w:next w:val="Textocomentario"/>
    <w:qFormat/>
    <w:pPr>
      <w:spacing w:after="0" w:line="240" w:lineRule="auto"/>
    </w:pPr>
    <w:rPr>
      <w:rFonts w:cs="Calibri"/>
      <w:b/>
      <w:bCs/>
      <w:sz w:val="20"/>
      <w:szCs w:val="20"/>
      <w:lang w:eastAsia="es-ES"/>
    </w:rPr>
  </w:style>
  <w:style w:type="paragraph" w:styleId="Textocomentario">
    <w:name w:val="annotation text"/>
    <w:basedOn w:val="Normal"/>
    <w:qFormat/>
    <w:pPr>
      <w:spacing w:after="200" w:line="276" w:lineRule="auto"/>
    </w:pPr>
    <w:rPr>
      <w:rFonts w:cs="Times New Roman"/>
      <w:lang w:eastAsia="en-US"/>
    </w:rPr>
  </w:style>
  <w:style w:type="character" w:customStyle="1" w:styleId="TextocomentarioCar">
    <w:name w:val="Texto comentario Car"/>
    <w:rPr>
      <w:w w:val="100"/>
      <w:position w:val="-1"/>
      <w:effect w:val="none"/>
      <w:vertAlign w:val="baseline"/>
      <w:cs w:val="0"/>
      <w:em w:val="none"/>
    </w:rPr>
  </w:style>
  <w:style w:type="character" w:customStyle="1" w:styleId="AsuntodelcomentarioCar">
    <w:name w:val="Asunto del comentario Car"/>
    <w:rPr>
      <w:rFonts w:ascii="Calibri" w:hAnsi="Calibri" w:cs="Calibri"/>
      <w:b/>
      <w:bCs/>
      <w:w w:val="100"/>
      <w:position w:val="-1"/>
      <w:sz w:val="20"/>
      <w:szCs w:val="20"/>
      <w:effect w:val="none"/>
      <w:vertAlign w:val="baseline"/>
      <w:cs w:val="0"/>
      <w:em w:val="none"/>
      <w:lang w:eastAsia="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s-E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alibri" w:hAnsi="Calibri" w:cs="Calibri"/>
      <w:w w:val="100"/>
      <w:position w:val="-1"/>
      <w:effect w:val="none"/>
      <w:vertAlign w:val="baseline"/>
      <w:cs w:val="0"/>
      <w:em w:val="none"/>
      <w:lang w:eastAsia="es-ES"/>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Calibri" w:hAnsi="Calibri" w:cs="Calibri"/>
      <w:w w:val="100"/>
      <w:position w:val="-1"/>
      <w:effect w:val="none"/>
      <w:vertAlign w:val="baseline"/>
      <w:cs w:val="0"/>
      <w:em w:val="none"/>
      <w:lang w:eastAsia="es-ES"/>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paragraph" w:styleId="Prrafodelista">
    <w:name w:val="List Paragraph"/>
    <w:basedOn w:val="Normal"/>
    <w:pPr>
      <w:ind w:left="720"/>
      <w:contextualSpacing/>
    </w:pPr>
  </w:style>
  <w:style w:type="paragraph" w:customStyle="1" w:styleId="Textoindependiente1">
    <w:name w:val="Texto independiente1"/>
    <w:basedOn w:val="Normal"/>
    <w:pPr>
      <w:widowControl w:val="0"/>
      <w:suppressAutoHyphens w:val="0"/>
      <w:spacing w:after="140" w:line="288" w:lineRule="auto"/>
    </w:pPr>
    <w:rPr>
      <w:rFonts w:ascii="Liberation Serif" w:eastAsia="Times New Roman" w:hAnsi="Liberation Serif" w:cs="Liberation Serif"/>
      <w:color w:val="000000"/>
      <w:sz w:val="24"/>
      <w:szCs w:val="24"/>
      <w:lang w:bidi="hi-IN"/>
    </w:rPr>
  </w:style>
  <w:style w:type="character" w:customStyle="1" w:styleId="InternetLink">
    <w:name w:val="Internet Link"/>
    <w:qFormat/>
    <w:rPr>
      <w:color w:val="0000FF"/>
      <w:w w:val="100"/>
      <w:position w:val="-1"/>
      <w:u w:val="single"/>
      <w:effect w:val="none"/>
      <w:vertAlign w:val="baseline"/>
      <w:cs w:val="0"/>
      <w:em w:val="none"/>
    </w:rPr>
  </w:style>
  <w:style w:type="paragraph" w:customStyle="1" w:styleId="xmsonormal">
    <w:name w:val="x_msonormal"/>
    <w:basedOn w:val="Normal"/>
  </w:style>
  <w:style w:type="character" w:customStyle="1" w:styleId="TextocomentarioCar1">
    <w:name w:val="Texto comentario Car1"/>
    <w:rPr>
      <w:rFonts w:ascii="Calibri" w:hAnsi="Calibri" w:cs="Calibri"/>
      <w:w w:val="100"/>
      <w:position w:val="-1"/>
      <w:sz w:val="20"/>
      <w:szCs w:val="20"/>
      <w:effect w:val="none"/>
      <w:vertAlign w:val="baseline"/>
      <w:cs w:val="0"/>
      <w:em w:val="none"/>
      <w:lang w:eastAsia="es-ES"/>
    </w:rPr>
  </w:style>
  <w:style w:type="paragraph" w:customStyle="1" w:styleId="p1">
    <w:name w:val="p1"/>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5323D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5323D4"/>
  </w:style>
  <w:style w:type="character" w:customStyle="1" w:styleId="eop">
    <w:name w:val="eop"/>
    <w:basedOn w:val="Fuentedeprrafopredeter"/>
    <w:rsid w:val="005323D4"/>
  </w:style>
  <w:style w:type="table" w:styleId="Tablaconcuadrcula">
    <w:name w:val="Table Grid"/>
    <w:basedOn w:val="Tablanormal"/>
    <w:uiPriority w:val="39"/>
    <w:rsid w:val="00A5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2FA2"/>
    <w:pPr>
      <w:ind w:firstLine="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4100">
      <w:bodyDiv w:val="1"/>
      <w:marLeft w:val="0"/>
      <w:marRight w:val="0"/>
      <w:marTop w:val="0"/>
      <w:marBottom w:val="0"/>
      <w:divBdr>
        <w:top w:val="none" w:sz="0" w:space="0" w:color="auto"/>
        <w:left w:val="none" w:sz="0" w:space="0" w:color="auto"/>
        <w:bottom w:val="none" w:sz="0" w:space="0" w:color="auto"/>
        <w:right w:val="none" w:sz="0" w:space="0" w:color="auto"/>
      </w:divBdr>
    </w:div>
    <w:div w:id="328486558">
      <w:bodyDiv w:val="1"/>
      <w:marLeft w:val="0"/>
      <w:marRight w:val="0"/>
      <w:marTop w:val="0"/>
      <w:marBottom w:val="0"/>
      <w:divBdr>
        <w:top w:val="none" w:sz="0" w:space="0" w:color="auto"/>
        <w:left w:val="none" w:sz="0" w:space="0" w:color="auto"/>
        <w:bottom w:val="none" w:sz="0" w:space="0" w:color="auto"/>
        <w:right w:val="none" w:sz="0" w:space="0" w:color="auto"/>
      </w:divBdr>
    </w:div>
    <w:div w:id="545143286">
      <w:bodyDiv w:val="1"/>
      <w:marLeft w:val="0"/>
      <w:marRight w:val="0"/>
      <w:marTop w:val="0"/>
      <w:marBottom w:val="0"/>
      <w:divBdr>
        <w:top w:val="none" w:sz="0" w:space="0" w:color="auto"/>
        <w:left w:val="none" w:sz="0" w:space="0" w:color="auto"/>
        <w:bottom w:val="none" w:sz="0" w:space="0" w:color="auto"/>
        <w:right w:val="none" w:sz="0" w:space="0" w:color="auto"/>
      </w:divBdr>
    </w:div>
    <w:div w:id="1001860071">
      <w:bodyDiv w:val="1"/>
      <w:marLeft w:val="0"/>
      <w:marRight w:val="0"/>
      <w:marTop w:val="0"/>
      <w:marBottom w:val="0"/>
      <w:divBdr>
        <w:top w:val="none" w:sz="0" w:space="0" w:color="auto"/>
        <w:left w:val="none" w:sz="0" w:space="0" w:color="auto"/>
        <w:bottom w:val="none" w:sz="0" w:space="0" w:color="auto"/>
        <w:right w:val="none" w:sz="0" w:space="0" w:color="auto"/>
      </w:divBdr>
    </w:div>
    <w:div w:id="1225333410">
      <w:bodyDiv w:val="1"/>
      <w:marLeft w:val="0"/>
      <w:marRight w:val="0"/>
      <w:marTop w:val="0"/>
      <w:marBottom w:val="0"/>
      <w:divBdr>
        <w:top w:val="none" w:sz="0" w:space="0" w:color="auto"/>
        <w:left w:val="none" w:sz="0" w:space="0" w:color="auto"/>
        <w:bottom w:val="none" w:sz="0" w:space="0" w:color="auto"/>
        <w:right w:val="none" w:sz="0" w:space="0" w:color="auto"/>
      </w:divBdr>
    </w:div>
    <w:div w:id="208641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act.php?id=BOE-A-2006-2076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axdow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denacionjuego.es/es/informe-jugador-online" TargetMode="External"/><Relationship Id="rId5" Type="http://schemas.openxmlformats.org/officeDocument/2006/relationships/numbering" Target="numbering.xml"/><Relationship Id="rId15" Type="http://schemas.openxmlformats.org/officeDocument/2006/relationships/hyperlink" Target="mailto:esther@taxdown.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genciatributaria.gob.es/Sede/procedimientos/GZ69.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7Rm6itM8sfozuY54njusazDwsQ==">AMUW2mWvJ5AzBsEFfj6p/UAiSuSSmeDwBy24wgtHnQOCYdrtKl0SVxSz0pG0omFLNJ1dUdWLFUL/eTf53Hhort6Vz/x9jQ5qs5SZWTwHe6QlgJ9syxSKd+o=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68843AEFC899245B455BD4638032952" ma:contentTypeVersion="16" ma:contentTypeDescription="Crear nuevo documento." ma:contentTypeScope="" ma:versionID="04e93f02f669d8022594e21a9812e0aa">
  <xsd:schema xmlns:xsd="http://www.w3.org/2001/XMLSchema" xmlns:xs="http://www.w3.org/2001/XMLSchema" xmlns:p="http://schemas.microsoft.com/office/2006/metadata/properties" xmlns:ns2="527fe7ca-77e5-469c-a13a-35db0a1e7b4e" xmlns:ns3="ce184150-5fae-49ee-ae80-d9a2e113130d" targetNamespace="http://schemas.microsoft.com/office/2006/metadata/properties" ma:root="true" ma:fieldsID="7fe8eb28545417679e88c5d023364db6" ns2:_="" ns3:_="">
    <xsd:import namespace="527fe7ca-77e5-469c-a13a-35db0a1e7b4e"/>
    <xsd:import namespace="ce184150-5fae-49ee-ae80-d9a2e11313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e7ca-77e5-469c-a13a-35db0a1e7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8bff6f-aa43-495f-a239-c811ededde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84150-5fae-49ee-ae80-d9a2e113130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0ee7b83-6c26-4cde-8996-9a599dfef455}" ma:internalName="TaxCatchAll" ma:showField="CatchAllData" ma:web="ce184150-5fae-49ee-ae80-d9a2e1131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7fe7ca-77e5-469c-a13a-35db0a1e7b4e">
      <Terms xmlns="http://schemas.microsoft.com/office/infopath/2007/PartnerControls"/>
    </lcf76f155ced4ddcb4097134ff3c332f>
    <TaxCatchAll xmlns="ce184150-5fae-49ee-ae80-d9a2e113130d" xsi:nil="true"/>
    <SharedWithUsers xmlns="ce184150-5fae-49ee-ae80-d9a2e113130d">
      <UserInfo>
        <DisplayName>Paula Schwarz García</DisplayName>
        <AccountId>105</AccountId>
        <AccountType/>
      </UserInfo>
      <UserInfo>
        <DisplayName>Héctor Jiménez Karar</DisplayName>
        <AccountId>144</AccountId>
        <AccountType/>
      </UserInfo>
      <UserInfo>
        <DisplayName>Sandra González Arias</DisplayName>
        <AccountId>241</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70F539-CE2B-4734-9019-BB7A78E76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e7ca-77e5-469c-a13a-35db0a1e7b4e"/>
    <ds:schemaRef ds:uri="ce184150-5fae-49ee-ae80-d9a2e113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CD751-02DF-4366-9748-B75113FE6EA5}">
  <ds:schemaRefs>
    <ds:schemaRef ds:uri="http://schemas.microsoft.com/sharepoint/v3/contenttype/forms"/>
  </ds:schemaRefs>
</ds:datastoreItem>
</file>

<file path=customXml/itemProps4.xml><?xml version="1.0" encoding="utf-8"?>
<ds:datastoreItem xmlns:ds="http://schemas.openxmlformats.org/officeDocument/2006/customXml" ds:itemID="{483BE5F1-E1F9-4B3B-858D-A1F90FFBD1A3}">
  <ds:schemaRefs>
    <ds:schemaRef ds:uri="http://schemas.microsoft.com/office/2006/metadata/properties"/>
    <ds:schemaRef ds:uri="http://schemas.microsoft.com/office/infopath/2007/PartnerControls"/>
    <ds:schemaRef ds:uri="527fe7ca-77e5-469c-a13a-35db0a1e7b4e"/>
    <ds:schemaRef ds:uri="ce184150-5fae-49ee-ae80-d9a2e11313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5491</Characters>
  <Application>Microsoft Office Word</Application>
  <DocSecurity>0</DocSecurity>
  <Lines>45</Lines>
  <Paragraphs>12</Paragraphs>
  <ScaleCrop>false</ScaleCrop>
  <Company/>
  <LinksUpToDate>false</LinksUpToDate>
  <CharactersWithSpaces>6477</CharactersWithSpaces>
  <SharedDoc>false</SharedDoc>
  <HLinks>
    <vt:vector size="24" baseType="variant">
      <vt:variant>
        <vt:i4>7929931</vt:i4>
      </vt:variant>
      <vt:variant>
        <vt:i4>9</vt:i4>
      </vt:variant>
      <vt:variant>
        <vt:i4>0</vt:i4>
      </vt:variant>
      <vt:variant>
        <vt:i4>5</vt:i4>
      </vt:variant>
      <vt:variant>
        <vt:lpwstr>mailto:esther@taxdown.es</vt:lpwstr>
      </vt:variant>
      <vt:variant>
        <vt:lpwstr/>
      </vt:variant>
      <vt:variant>
        <vt:i4>1310788</vt:i4>
      </vt:variant>
      <vt:variant>
        <vt:i4>6</vt:i4>
      </vt:variant>
      <vt:variant>
        <vt:i4>0</vt:i4>
      </vt:variant>
      <vt:variant>
        <vt:i4>5</vt:i4>
      </vt:variant>
      <vt:variant>
        <vt:lpwstr>https://www.boe.es/buscar/act.php?id=BOE-A-2006-20764</vt:lpwstr>
      </vt:variant>
      <vt:variant>
        <vt:lpwstr/>
      </vt:variant>
      <vt:variant>
        <vt:i4>5439581</vt:i4>
      </vt:variant>
      <vt:variant>
        <vt:i4>3</vt:i4>
      </vt:variant>
      <vt:variant>
        <vt:i4>0</vt:i4>
      </vt:variant>
      <vt:variant>
        <vt:i4>5</vt:i4>
      </vt:variant>
      <vt:variant>
        <vt:lpwstr>https://sede.agenciatributaria.gob.es/Sede/procedimientos/GZ69.shtml</vt:lpwstr>
      </vt:variant>
      <vt:variant>
        <vt:lpwstr/>
      </vt:variant>
      <vt:variant>
        <vt:i4>4063272</vt:i4>
      </vt:variant>
      <vt:variant>
        <vt:i4>0</vt:i4>
      </vt:variant>
      <vt:variant>
        <vt:i4>0</vt:i4>
      </vt:variant>
      <vt:variant>
        <vt:i4>5</vt:i4>
      </vt:variant>
      <vt:variant>
        <vt:lpwstr>https://taxdown.es/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Bermejo (Omnicom PR Group)</dc:creator>
  <cp:keywords/>
  <cp:lastModifiedBy>Esther Maroto Almarcha</cp:lastModifiedBy>
  <cp:revision>2</cp:revision>
  <dcterms:created xsi:type="dcterms:W3CDTF">2022-08-22T14:02:00Z</dcterms:created>
  <dcterms:modified xsi:type="dcterms:W3CDTF">2022-08-22T14:02:00Z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3082-11.2.0.10152</vt:lpwstr>
  </property>
  <property fmtid="{D5CDD505-2E9C-101B-9397-08002B2CF9AE}" pid="3" name="ContentTypeId">
    <vt:lpwstr>0x010100268843AEFC899245B455BD4638032952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