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6C21" w14:textId="3978F156" w:rsidR="00BD08B9" w:rsidRPr="00BD08B9" w:rsidRDefault="00BD08B9" w:rsidP="00BD08B9">
      <w:pPr>
        <w:suppressAutoHyphens w:val="0"/>
        <w:spacing w:line="240" w:lineRule="auto"/>
        <w:ind w:leftChars="0" w:left="0" w:firstLineChars="0"/>
        <w:jc w:val="center"/>
        <w:textDirection w:val="lrTb"/>
        <w:textAlignment w:val="auto"/>
        <w:outlineLvl w:val="9"/>
        <w:rPr>
          <w:rFonts w:ascii="Times New Roman" w:eastAsia="Times New Roman" w:hAnsi="Times New Roman" w:cs="Times New Roman"/>
          <w:position w:val="0"/>
          <w:sz w:val="24"/>
          <w:szCs w:val="24"/>
        </w:rPr>
      </w:pPr>
      <w:r w:rsidRPr="00BD08B9">
        <w:rPr>
          <w:b/>
          <w:sz w:val="32"/>
          <w:szCs w:val="32"/>
        </w:rPr>
        <w:t>¡</w:t>
      </w:r>
      <w:r w:rsidR="009A4F60">
        <w:rPr>
          <w:b/>
          <w:sz w:val="32"/>
          <w:szCs w:val="32"/>
        </w:rPr>
        <w:t>Ojo</w:t>
      </w:r>
      <w:r w:rsidRPr="00BD08B9">
        <w:rPr>
          <w:b/>
          <w:sz w:val="32"/>
          <w:szCs w:val="32"/>
        </w:rPr>
        <w:t>! Si no declaras tu casa de vacaciones en la renta, Hacienda podría multarte</w:t>
      </w:r>
    </w:p>
    <w:p w14:paraId="530939EE" w14:textId="77777777" w:rsidR="001162AE" w:rsidRDefault="001162AE" w:rsidP="00BD08B9">
      <w:pPr>
        <w:ind w:leftChars="0" w:left="0" w:firstLineChars="0" w:firstLine="0"/>
        <w:rPr>
          <w:sz w:val="20"/>
          <w:szCs w:val="20"/>
        </w:rPr>
      </w:pPr>
    </w:p>
    <w:p w14:paraId="530939EF" w14:textId="534A9646" w:rsidR="001162AE" w:rsidRPr="003D3752" w:rsidRDefault="00AC32B9" w:rsidP="67DB01EA">
      <w:pPr>
        <w:pStyle w:val="Prrafodelista"/>
        <w:numPr>
          <w:ilvl w:val="0"/>
          <w:numId w:val="2"/>
        </w:numPr>
        <w:pBdr>
          <w:top w:val="nil"/>
          <w:left w:val="nil"/>
          <w:bottom w:val="nil"/>
          <w:right w:val="nil"/>
          <w:between w:val="nil"/>
        </w:pBdr>
        <w:spacing w:line="240" w:lineRule="auto"/>
        <w:ind w:leftChars="0" w:right="282" w:firstLineChars="0"/>
        <w:jc w:val="both"/>
        <w:rPr>
          <w:b/>
          <w:bCs/>
          <w:color w:val="00000A"/>
        </w:rPr>
      </w:pPr>
      <w:r w:rsidRPr="67DB01EA">
        <w:rPr>
          <w:b/>
          <w:bCs/>
        </w:rPr>
        <w:t>No incluir una segunda residencia vacacional en nuestra declaración de la renta, podría conllevar</w:t>
      </w:r>
      <w:r w:rsidR="0024636B" w:rsidRPr="67DB01EA">
        <w:rPr>
          <w:b/>
          <w:bCs/>
        </w:rPr>
        <w:t>nos</w:t>
      </w:r>
      <w:r w:rsidRPr="67DB01EA">
        <w:rPr>
          <w:b/>
          <w:bCs/>
        </w:rPr>
        <w:t xml:space="preserve"> </w:t>
      </w:r>
      <w:r w:rsidRPr="0778BD82">
        <w:rPr>
          <w:b/>
          <w:bCs/>
        </w:rPr>
        <w:t>pago de intereses</w:t>
      </w:r>
      <w:r w:rsidR="00D507C7" w:rsidRPr="67DB01EA">
        <w:rPr>
          <w:b/>
          <w:bCs/>
        </w:rPr>
        <w:t xml:space="preserve"> o incluso enfrentarnos a un proce</w:t>
      </w:r>
      <w:r w:rsidR="00D35290">
        <w:rPr>
          <w:b/>
          <w:bCs/>
        </w:rPr>
        <w:t>dimiento</w:t>
      </w:r>
      <w:r w:rsidR="00D507C7" w:rsidRPr="67DB01EA">
        <w:rPr>
          <w:b/>
          <w:bCs/>
        </w:rPr>
        <w:t xml:space="preserve"> sancionador</w:t>
      </w:r>
      <w:r w:rsidR="0024636B" w:rsidRPr="67DB01EA">
        <w:rPr>
          <w:b/>
          <w:bCs/>
        </w:rPr>
        <w:t xml:space="preserve"> </w:t>
      </w:r>
    </w:p>
    <w:p w14:paraId="530939F0" w14:textId="77777777" w:rsidR="001162AE" w:rsidRDefault="001162AE" w:rsidP="003D3752">
      <w:pPr>
        <w:pBdr>
          <w:top w:val="nil"/>
          <w:left w:val="nil"/>
          <w:bottom w:val="nil"/>
          <w:right w:val="nil"/>
          <w:between w:val="nil"/>
        </w:pBdr>
        <w:spacing w:line="240" w:lineRule="auto"/>
        <w:ind w:leftChars="0" w:left="-2" w:right="282" w:firstLineChars="0" w:firstLine="0"/>
        <w:jc w:val="both"/>
        <w:rPr>
          <w:b/>
          <w:color w:val="00000A"/>
        </w:rPr>
      </w:pPr>
    </w:p>
    <w:p w14:paraId="530939F1" w14:textId="65A6A5FB" w:rsidR="001162AE" w:rsidRDefault="001F6681" w:rsidP="001F6681">
      <w:pPr>
        <w:pStyle w:val="Prrafodelista"/>
        <w:numPr>
          <w:ilvl w:val="0"/>
          <w:numId w:val="2"/>
        </w:numPr>
        <w:pBdr>
          <w:top w:val="nil"/>
          <w:left w:val="nil"/>
          <w:bottom w:val="nil"/>
          <w:right w:val="nil"/>
          <w:between w:val="nil"/>
        </w:pBdr>
        <w:spacing w:line="240" w:lineRule="auto"/>
        <w:ind w:leftChars="0" w:right="282" w:firstLineChars="0"/>
        <w:jc w:val="both"/>
        <w:rPr>
          <w:b/>
          <w:color w:val="00000A"/>
        </w:rPr>
      </w:pPr>
      <w:r>
        <w:rPr>
          <w:b/>
          <w:color w:val="00000A"/>
        </w:rPr>
        <w:t xml:space="preserve">Según informa TaxDown, </w:t>
      </w:r>
      <w:r w:rsidR="0024636B">
        <w:rPr>
          <w:b/>
          <w:color w:val="00000A"/>
        </w:rPr>
        <w:t>es importante saber cómo declarar estos inmuebles tanto si los usamos de manera particular como si obtenemos algún beneficio económico con ellos</w:t>
      </w:r>
      <w:r w:rsidR="00422DBA">
        <w:rPr>
          <w:b/>
          <w:color w:val="00000A"/>
        </w:rPr>
        <w:t xml:space="preserve"> a través de un alquiler</w:t>
      </w:r>
    </w:p>
    <w:p w14:paraId="530939F2" w14:textId="77777777" w:rsidR="001162AE" w:rsidRDefault="001162AE" w:rsidP="003D3752">
      <w:pPr>
        <w:ind w:leftChars="0" w:left="-2" w:firstLineChars="0" w:firstLine="0"/>
        <w:rPr>
          <w:b/>
          <w:color w:val="000000"/>
        </w:rPr>
      </w:pPr>
    </w:p>
    <w:p w14:paraId="530939F4" w14:textId="77777777" w:rsidR="001162AE" w:rsidRDefault="001162AE">
      <w:pPr>
        <w:pBdr>
          <w:top w:val="nil"/>
          <w:left w:val="nil"/>
          <w:bottom w:val="nil"/>
          <w:right w:val="nil"/>
          <w:between w:val="nil"/>
        </w:pBdr>
        <w:spacing w:line="240" w:lineRule="auto"/>
        <w:ind w:left="0" w:right="282" w:hanging="2"/>
        <w:rPr>
          <w:color w:val="000000"/>
        </w:rPr>
      </w:pPr>
    </w:p>
    <w:p w14:paraId="1DE7BA3F" w14:textId="57D2E581" w:rsidR="00BC2BFC" w:rsidRDefault="00CD5608">
      <w:pPr>
        <w:ind w:left="0" w:hanging="2"/>
        <w:jc w:val="both"/>
      </w:pPr>
      <w:r>
        <w:rPr>
          <w:b/>
        </w:rPr>
        <w:t xml:space="preserve">Madrid, </w:t>
      </w:r>
      <w:r w:rsidR="00282839">
        <w:rPr>
          <w:b/>
        </w:rPr>
        <w:t>2</w:t>
      </w:r>
      <w:r w:rsidR="00097801">
        <w:rPr>
          <w:b/>
        </w:rPr>
        <w:t xml:space="preserve"> </w:t>
      </w:r>
      <w:r>
        <w:rPr>
          <w:b/>
        </w:rPr>
        <w:t xml:space="preserve">de </w:t>
      </w:r>
      <w:r w:rsidR="00422DBA">
        <w:rPr>
          <w:b/>
        </w:rPr>
        <w:t xml:space="preserve">agosto </w:t>
      </w:r>
      <w:r>
        <w:rPr>
          <w:b/>
        </w:rPr>
        <w:t xml:space="preserve">de </w:t>
      </w:r>
      <w:r>
        <w:rPr>
          <w:b/>
          <w:color w:val="00000A"/>
        </w:rPr>
        <w:t>2022</w:t>
      </w:r>
      <w:r>
        <w:t xml:space="preserve"> – </w:t>
      </w:r>
      <w:r w:rsidR="00102828">
        <w:t>En estos días de verano muchos contribuyentes pasan sus vacaciones en una segunda residencia particular</w:t>
      </w:r>
      <w:r w:rsidR="00BE56E1">
        <w:t xml:space="preserve"> </w:t>
      </w:r>
      <w:r w:rsidR="00BE56E1" w:rsidRPr="00BE56E1">
        <w:t>en la playa o en la montaña</w:t>
      </w:r>
      <w:r w:rsidR="00BE56E1">
        <w:t>.</w:t>
      </w:r>
      <w:r w:rsidR="001B0C5D">
        <w:t xml:space="preserve"> Y es importante</w:t>
      </w:r>
      <w:r w:rsidR="00BE56E1" w:rsidRPr="00BE56E1">
        <w:t xml:space="preserve"> tener en cuenta que este tipo de propiedades no están exentas de declararse en el borrador del </w:t>
      </w:r>
      <w:proofErr w:type="gramStart"/>
      <w:r w:rsidR="00BE56E1" w:rsidRPr="00BE56E1">
        <w:t>IRPF</w:t>
      </w:r>
      <w:proofErr w:type="gramEnd"/>
      <w:r w:rsidR="001B0C5D">
        <w:t xml:space="preserve"> aunque hagamos un uso residual de ellas a lo largo del año.</w:t>
      </w:r>
    </w:p>
    <w:p w14:paraId="62B7F86B" w14:textId="77777777" w:rsidR="00D54B88" w:rsidRDefault="00D54B88">
      <w:pPr>
        <w:ind w:left="0" w:hanging="2"/>
        <w:jc w:val="both"/>
      </w:pPr>
    </w:p>
    <w:p w14:paraId="530939F5" w14:textId="25CD6855" w:rsidR="001162AE" w:rsidRDefault="00F42FD0" w:rsidP="00410980">
      <w:pPr>
        <w:ind w:left="0" w:hanging="2"/>
        <w:jc w:val="both"/>
      </w:pPr>
      <w:r>
        <w:t>Además</w:t>
      </w:r>
      <w:r w:rsidRPr="00F42FD0">
        <w:t xml:space="preserve"> de </w:t>
      </w:r>
      <w:r>
        <w:t xml:space="preserve">incluir </w:t>
      </w:r>
      <w:r w:rsidRPr="00F42FD0">
        <w:t>en el borrador los datos relacionados con el s</w:t>
      </w:r>
      <w:r>
        <w:t>alario</w:t>
      </w:r>
      <w:r w:rsidRPr="00F42FD0">
        <w:t xml:space="preserve">, los </w:t>
      </w:r>
      <w:r>
        <w:t>intereses</w:t>
      </w:r>
      <w:r w:rsidRPr="00F42FD0">
        <w:t xml:space="preserve"> de </w:t>
      </w:r>
      <w:r>
        <w:t>nuestras cuentas bancarias</w:t>
      </w:r>
      <w:r w:rsidRPr="00F42FD0">
        <w:t xml:space="preserve"> o las donaciones que hemos </w:t>
      </w:r>
      <w:r w:rsidR="009865AC">
        <w:t>hecho</w:t>
      </w:r>
      <w:r w:rsidRPr="00F42FD0">
        <w:t xml:space="preserve"> a asociaciones y organizaciones benéficas, también es necesario</w:t>
      </w:r>
      <w:r w:rsidR="009865AC">
        <w:t xml:space="preserve"> añadir </w:t>
      </w:r>
      <w:r w:rsidRPr="00F42FD0">
        <w:t>las segundas residencias. De hecho, la Agencia Tributaria suele revisar este tipo de datos para detectar o evitar posibles fraudes por parte de los contribuyentes.</w:t>
      </w:r>
      <w:r w:rsidR="00CD5608">
        <w:rPr>
          <w:b/>
        </w:rPr>
        <w:t xml:space="preserve">, según confirman desde </w:t>
      </w:r>
      <w:hyperlink r:id="rId11">
        <w:r w:rsidR="00CD5608">
          <w:rPr>
            <w:b/>
            <w:color w:val="1155CC"/>
            <w:u w:val="single"/>
          </w:rPr>
          <w:t>TaxDown</w:t>
        </w:r>
      </w:hyperlink>
      <w:r w:rsidR="00CD5608">
        <w:t>.</w:t>
      </w:r>
    </w:p>
    <w:p w14:paraId="71B8D7D0" w14:textId="77777777" w:rsidR="009865AC" w:rsidRPr="009865AC" w:rsidRDefault="009865AC" w:rsidP="00410980">
      <w:pPr>
        <w:ind w:left="0" w:hanging="2"/>
        <w:jc w:val="both"/>
        <w:rPr>
          <w:b/>
          <w:bCs/>
        </w:rPr>
      </w:pPr>
    </w:p>
    <w:p w14:paraId="305FD6F4" w14:textId="33891028" w:rsidR="009865AC" w:rsidRPr="009865AC" w:rsidRDefault="009865AC" w:rsidP="00410980">
      <w:pPr>
        <w:ind w:left="0" w:hanging="2"/>
        <w:jc w:val="both"/>
        <w:rPr>
          <w:b/>
          <w:bCs/>
        </w:rPr>
      </w:pPr>
      <w:r w:rsidRPr="009865AC">
        <w:rPr>
          <w:b/>
          <w:bCs/>
        </w:rPr>
        <w:t>Multas y sanciones por no declarar una residencia vacacional</w:t>
      </w:r>
    </w:p>
    <w:p w14:paraId="2203556A" w14:textId="77777777" w:rsidR="0093107F" w:rsidRDefault="0093107F">
      <w:pPr>
        <w:ind w:left="0" w:hanging="2"/>
        <w:jc w:val="both"/>
      </w:pPr>
    </w:p>
    <w:p w14:paraId="66EC7E32" w14:textId="77777777" w:rsidR="00E956AF" w:rsidRDefault="00D656CC" w:rsidP="004E14F5">
      <w:pPr>
        <w:ind w:left="0" w:hanging="2"/>
        <w:jc w:val="both"/>
      </w:pPr>
      <w:r>
        <w:t xml:space="preserve">Los contribuyentes </w:t>
      </w:r>
      <w:r w:rsidR="00C1562F">
        <w:t xml:space="preserve">que </w:t>
      </w:r>
      <w:r>
        <w:t>no incluyan est</w:t>
      </w:r>
      <w:r w:rsidR="00211169">
        <w:t>e tipo de</w:t>
      </w:r>
      <w:r>
        <w:t xml:space="preserve"> inmuebles en su declaración de la renta </w:t>
      </w:r>
      <w:r w:rsidR="00351E3B">
        <w:t>se enfrentan a que Hacienda</w:t>
      </w:r>
      <w:r w:rsidRPr="00D656CC">
        <w:t xml:space="preserve"> inici</w:t>
      </w:r>
      <w:r w:rsidR="00351E3B">
        <w:t>e</w:t>
      </w:r>
      <w:r w:rsidRPr="00D656CC">
        <w:t xml:space="preserve"> un procedimiento para comprobar </w:t>
      </w:r>
      <w:r w:rsidR="00351E3B">
        <w:t>esa</w:t>
      </w:r>
      <w:r w:rsidRPr="00D656CC">
        <w:t xml:space="preserve"> declaración </w:t>
      </w:r>
      <w:r w:rsidR="00351E3B">
        <w:t>y</w:t>
      </w:r>
      <w:r w:rsidR="00B43F55">
        <w:t xml:space="preserve">, </w:t>
      </w:r>
      <w:r w:rsidR="00E956AF">
        <w:t>que sean ellos los que los añadan</w:t>
      </w:r>
      <w:r w:rsidR="004E14F5">
        <w:t xml:space="preserve"> de manera proactiva. </w:t>
      </w:r>
    </w:p>
    <w:p w14:paraId="63A2C219" w14:textId="77777777" w:rsidR="00E956AF" w:rsidRDefault="00E956AF" w:rsidP="004E14F5">
      <w:pPr>
        <w:ind w:left="0" w:hanging="2"/>
        <w:jc w:val="both"/>
      </w:pPr>
    </w:p>
    <w:p w14:paraId="785FD871" w14:textId="70CC82EF" w:rsidR="00D656CC" w:rsidRDefault="00D656CC" w:rsidP="004E14F5">
      <w:pPr>
        <w:ind w:left="0" w:hanging="2"/>
        <w:jc w:val="both"/>
      </w:pPr>
      <w:r>
        <w:t>De esta forma, corregir</w:t>
      </w:r>
      <w:r w:rsidR="00E956AF">
        <w:t>án</w:t>
      </w:r>
      <w:r>
        <w:t xml:space="preserve"> el resultado de la declaración y </w:t>
      </w:r>
      <w:r w:rsidR="004E14F5">
        <w:t>ser</w:t>
      </w:r>
      <w:r w:rsidR="00211169">
        <w:t>á</w:t>
      </w:r>
      <w:r w:rsidR="004E14F5">
        <w:t xml:space="preserve"> necesario</w:t>
      </w:r>
      <w:r>
        <w:t xml:space="preserve"> pagar la diferencia. </w:t>
      </w:r>
      <w:proofErr w:type="gramStart"/>
      <w:r w:rsidR="004E14F5">
        <w:t>Ese importe</w:t>
      </w:r>
      <w:r>
        <w:t xml:space="preserve"> a pagar</w:t>
      </w:r>
      <w:proofErr w:type="gramEnd"/>
      <w:r>
        <w:t xml:space="preserve"> </w:t>
      </w:r>
      <w:r w:rsidR="004E14F5">
        <w:t xml:space="preserve">conllevará </w:t>
      </w:r>
      <w:r>
        <w:t xml:space="preserve">un 5% de intereses de demora si no </w:t>
      </w:r>
      <w:r w:rsidR="004E14F5">
        <w:t>se paga</w:t>
      </w:r>
      <w:r>
        <w:t xml:space="preserve"> en</w:t>
      </w:r>
      <w:r w:rsidR="004E14F5">
        <w:t xml:space="preserve"> el</w:t>
      </w:r>
      <w:r>
        <w:t xml:space="preserve"> plazo</w:t>
      </w:r>
      <w:r w:rsidR="004E14F5">
        <w:t xml:space="preserve"> estipulado por Hacienda. Si </w:t>
      </w:r>
      <w:r w:rsidR="00871C28">
        <w:t xml:space="preserve">el contribuyente se excede en el plazo, este porcentaje irá aumentando. </w:t>
      </w:r>
      <w:r>
        <w:t xml:space="preserve">Además, </w:t>
      </w:r>
      <w:r w:rsidR="00871C28">
        <w:t xml:space="preserve">Hacienda </w:t>
      </w:r>
      <w:r w:rsidR="00E956AF">
        <w:t xml:space="preserve">en algunos casos </w:t>
      </w:r>
      <w:r>
        <w:t>podría</w:t>
      </w:r>
      <w:r w:rsidR="00E956AF">
        <w:t xml:space="preserve"> </w:t>
      </w:r>
      <w:r>
        <w:t>iniciar</w:t>
      </w:r>
      <w:r w:rsidR="00487DA1">
        <w:t xml:space="preserve"> incluso</w:t>
      </w:r>
      <w:r>
        <w:t xml:space="preserve"> </w:t>
      </w:r>
      <w:hyperlink r:id="rId12" w:history="1">
        <w:r w:rsidRPr="00AA7C85">
          <w:rPr>
            <w:rStyle w:val="Hipervnculo"/>
          </w:rPr>
          <w:t>un procedimiento sancionador</w:t>
        </w:r>
      </w:hyperlink>
      <w:r>
        <w:t xml:space="preserve"> por haberlo declarado incorrectamente con una multa que podría llegar al 50% de lo dejado de ingresar.</w:t>
      </w:r>
    </w:p>
    <w:p w14:paraId="61A29CD7" w14:textId="77777777" w:rsidR="00C25D4E" w:rsidRPr="00AB3EFE" w:rsidRDefault="00C25D4E" w:rsidP="004E14F5">
      <w:pPr>
        <w:ind w:left="0" w:hanging="2"/>
        <w:jc w:val="both"/>
        <w:rPr>
          <w:b/>
          <w:bCs/>
        </w:rPr>
      </w:pPr>
    </w:p>
    <w:p w14:paraId="4519DCA5" w14:textId="6DCB0BC2" w:rsidR="00C25D4E" w:rsidRPr="00AB3EFE" w:rsidRDefault="00C25D4E" w:rsidP="004E14F5">
      <w:pPr>
        <w:ind w:left="0" w:hanging="2"/>
        <w:jc w:val="both"/>
        <w:rPr>
          <w:b/>
          <w:bCs/>
        </w:rPr>
      </w:pPr>
      <w:r w:rsidRPr="00AB3EFE">
        <w:rPr>
          <w:b/>
          <w:bCs/>
        </w:rPr>
        <w:t>Cómo declarar correctamente una segunda residencia</w:t>
      </w:r>
    </w:p>
    <w:p w14:paraId="568D0D28" w14:textId="77777777" w:rsidR="00AB3EFE" w:rsidRDefault="00AB3EFE" w:rsidP="00A8221C">
      <w:pPr>
        <w:ind w:leftChars="0" w:left="0" w:firstLineChars="0" w:firstLine="0"/>
        <w:jc w:val="both"/>
      </w:pPr>
    </w:p>
    <w:p w14:paraId="05519FAD" w14:textId="697DFCF9" w:rsidR="00A8221C" w:rsidRDefault="00A8221C" w:rsidP="73D6FDD1">
      <w:pPr>
        <w:suppressAutoHyphens w:val="0"/>
        <w:spacing w:line="240" w:lineRule="auto"/>
        <w:ind w:leftChars="0" w:left="0" w:firstLineChars="0" w:firstLine="0"/>
        <w:jc w:val="both"/>
        <w:textDirection w:val="lrTb"/>
        <w:textAlignment w:val="auto"/>
      </w:pPr>
      <w:r>
        <w:t xml:space="preserve">En muchos casos una segunda residencia suele ser una vivienda vacacional en la que </w:t>
      </w:r>
      <w:r w:rsidR="00A226AD">
        <w:t>los contribuyentes pasan</w:t>
      </w:r>
      <w:r>
        <w:t xml:space="preserve"> apenas unos meses al año. Pero en otros casos se puede utilizar con finalidad lucrativa, es decir, para alquiler. En función de si se utiliza para un uso u otro, se deberá declarar en nuestra renta de manera diferenciada</w:t>
      </w:r>
      <w:r w:rsidR="004866C4">
        <w:t>.</w:t>
      </w:r>
    </w:p>
    <w:p w14:paraId="2F1FD29A" w14:textId="77777777" w:rsidR="00AE1D07" w:rsidRDefault="00AE1D07" w:rsidP="00A8221C">
      <w:pPr>
        <w:suppressAutoHyphens w:val="0"/>
        <w:spacing w:line="240" w:lineRule="auto"/>
        <w:ind w:leftChars="0" w:left="0" w:firstLineChars="0" w:firstLine="0"/>
        <w:jc w:val="both"/>
        <w:textDirection w:val="lrTb"/>
        <w:textAlignment w:val="auto"/>
        <w:outlineLvl w:val="9"/>
      </w:pPr>
    </w:p>
    <w:p w14:paraId="13BCD262" w14:textId="5EDF4551" w:rsidR="00035F7B" w:rsidRDefault="00AE1D07" w:rsidP="0778BD82">
      <w:pPr>
        <w:suppressAutoHyphens w:val="0"/>
        <w:spacing w:line="240" w:lineRule="auto"/>
        <w:ind w:leftChars="0" w:left="0" w:firstLineChars="0" w:firstLine="0"/>
        <w:jc w:val="both"/>
        <w:textDirection w:val="lrTb"/>
        <w:textAlignment w:val="auto"/>
      </w:pPr>
      <w:r w:rsidRPr="00AE1D07">
        <w:t xml:space="preserve">Cuando </w:t>
      </w:r>
      <w:r w:rsidR="004E616F">
        <w:t xml:space="preserve">se utilice </w:t>
      </w:r>
      <w:r w:rsidR="00035F7B">
        <w:t xml:space="preserve">esta segunda residencia </w:t>
      </w:r>
      <w:r w:rsidR="00035F7B" w:rsidRPr="001A5D07">
        <w:rPr>
          <w:b/>
          <w:bCs/>
        </w:rPr>
        <w:t>para</w:t>
      </w:r>
      <w:r w:rsidRPr="001A5D07">
        <w:rPr>
          <w:b/>
          <w:bCs/>
        </w:rPr>
        <w:t xml:space="preserve"> uso personal,</w:t>
      </w:r>
      <w:r w:rsidR="004E616F" w:rsidRPr="001A5D07">
        <w:rPr>
          <w:b/>
          <w:bCs/>
        </w:rPr>
        <w:t xml:space="preserve"> habrá que marcar su uso como vacía</w:t>
      </w:r>
      <w:r w:rsidR="00B52A90">
        <w:rPr>
          <w:b/>
          <w:bCs/>
        </w:rPr>
        <w:t xml:space="preserve"> (a disposición de sus titulares)</w:t>
      </w:r>
      <w:r w:rsidR="004E616F" w:rsidRPr="001A5D07">
        <w:rPr>
          <w:b/>
          <w:bCs/>
        </w:rPr>
        <w:t xml:space="preserve"> durante todo el año</w:t>
      </w:r>
      <w:r w:rsidR="004E616F" w:rsidRPr="004E616F">
        <w:t xml:space="preserve">, ya que no es </w:t>
      </w:r>
      <w:r w:rsidR="004E616F">
        <w:t>la</w:t>
      </w:r>
      <w:r w:rsidR="004E616F" w:rsidRPr="004E616F">
        <w:t xml:space="preserve"> vivienda habitual</w:t>
      </w:r>
      <w:r w:rsidR="002C3227">
        <w:t>, e</w:t>
      </w:r>
      <w:r w:rsidR="002C3227" w:rsidRPr="002C3227">
        <w:t>n el apartado de la renta correspondiente a “Bienes inmuebles no afectos a actividades económicas”</w:t>
      </w:r>
      <w:r w:rsidR="002C3227">
        <w:t>.</w:t>
      </w:r>
      <w:r w:rsidR="004E616F" w:rsidRPr="004E616F">
        <w:t xml:space="preserve"> </w:t>
      </w:r>
      <w:r w:rsidR="004E616F">
        <w:t>En estos casos, l</w:t>
      </w:r>
      <w:r w:rsidR="004E616F" w:rsidRPr="004E616F">
        <w:t xml:space="preserve">a ley exige </w:t>
      </w:r>
      <w:r w:rsidR="004E616F">
        <w:t>pagar</w:t>
      </w:r>
      <w:r w:rsidR="004E616F" w:rsidRPr="004E616F">
        <w:t xml:space="preserve"> imputación de rentas por la misma.</w:t>
      </w:r>
      <w:r w:rsidR="005328A9">
        <w:t xml:space="preserve"> El </w:t>
      </w:r>
      <w:hyperlink r:id="rId13">
        <w:r w:rsidR="005328A9" w:rsidRPr="0778BD82">
          <w:rPr>
            <w:rStyle w:val="Hipervnculo"/>
          </w:rPr>
          <w:t>artículo 85 de la Ley 35/2006 de IRPF</w:t>
        </w:r>
      </w:hyperlink>
      <w:r w:rsidR="005328A9" w:rsidRPr="005328A9">
        <w:t xml:space="preserve"> define </w:t>
      </w:r>
      <w:r w:rsidR="005328A9">
        <w:t xml:space="preserve">detalladamente </w:t>
      </w:r>
      <w:r w:rsidR="005328A9" w:rsidRPr="005328A9">
        <w:t>lo que es una renta inmobiliaria imputada</w:t>
      </w:r>
      <w:r w:rsidR="005328A9">
        <w:t>. De manera resumida, l</w:t>
      </w:r>
      <w:r w:rsidR="009655E5" w:rsidRPr="009655E5">
        <w:t xml:space="preserve">a imputación de rentas es la manera en que Hacienda nos hace pagar impuestos por los inmuebles que </w:t>
      </w:r>
      <w:r w:rsidR="009655E5" w:rsidRPr="009655E5">
        <w:lastRenderedPageBreak/>
        <w:t>son de nuestra propiedad y por los que no estamos obteniendo ningún ingreso y no son nuestra vivienda habitual.</w:t>
      </w:r>
      <w:r w:rsidR="004866C4">
        <w:t xml:space="preserve"> Se trata de un </w:t>
      </w:r>
      <w:r w:rsidR="004866C4" w:rsidRPr="004866C4">
        <w:t>pequeño impuesto, com</w:t>
      </w:r>
      <w:r w:rsidR="004866C4">
        <w:t>o</w:t>
      </w:r>
      <w:r w:rsidR="004866C4" w:rsidRPr="004866C4">
        <w:t xml:space="preserve"> una renta </w:t>
      </w:r>
      <w:r w:rsidR="004866C4">
        <w:t>adicional que añade</w:t>
      </w:r>
      <w:r w:rsidR="004866C4" w:rsidRPr="004866C4">
        <w:t xml:space="preserve"> Hacienda, como ‘castigo’ por tenerla vacía</w:t>
      </w:r>
      <w:r w:rsidR="004866C4">
        <w:t xml:space="preserve">, según </w:t>
      </w:r>
      <w:r w:rsidR="002C3227">
        <w:t>explican</w:t>
      </w:r>
      <w:r w:rsidR="004866C4">
        <w:t xml:space="preserve"> desde TaxDown.</w:t>
      </w:r>
    </w:p>
    <w:p w14:paraId="272C2432" w14:textId="77777777" w:rsidR="00963935" w:rsidRDefault="00963935" w:rsidP="00A8221C">
      <w:pPr>
        <w:suppressAutoHyphens w:val="0"/>
        <w:spacing w:line="240" w:lineRule="auto"/>
        <w:ind w:leftChars="0" w:left="0" w:firstLineChars="0" w:firstLine="0"/>
        <w:jc w:val="both"/>
        <w:textDirection w:val="lrTb"/>
        <w:textAlignment w:val="auto"/>
        <w:outlineLvl w:val="9"/>
      </w:pPr>
    </w:p>
    <w:p w14:paraId="10525E9C" w14:textId="012FD445" w:rsidR="00A8221C" w:rsidRDefault="00963935" w:rsidP="3582431F">
      <w:pPr>
        <w:suppressAutoHyphens w:val="0"/>
        <w:spacing w:line="240" w:lineRule="auto"/>
        <w:ind w:leftChars="0" w:left="0" w:firstLineChars="0" w:firstLine="0"/>
        <w:jc w:val="both"/>
        <w:textDirection w:val="lrTb"/>
        <w:textAlignment w:val="auto"/>
      </w:pPr>
      <w:r w:rsidRPr="00963935">
        <w:t>Para calcular</w:t>
      </w:r>
      <w:r>
        <w:t xml:space="preserve"> esta renta a pagar</w:t>
      </w:r>
      <w:r w:rsidRPr="00963935">
        <w:t xml:space="preserve">, </w:t>
      </w:r>
      <w:r>
        <w:t>tendremos</w:t>
      </w:r>
      <w:r w:rsidRPr="00963935">
        <w:t xml:space="preserve"> que aplicar</w:t>
      </w:r>
      <w:r w:rsidR="00064CF4">
        <w:t>, como norma general,</w:t>
      </w:r>
      <w:r w:rsidRPr="00963935">
        <w:t xml:space="preserve"> el </w:t>
      </w:r>
      <w:r w:rsidR="00A3072A">
        <w:t>2</w:t>
      </w:r>
      <w:r w:rsidRPr="00963935">
        <w:t xml:space="preserve">% </w:t>
      </w:r>
      <w:r>
        <w:t>a</w:t>
      </w:r>
      <w:r w:rsidRPr="00963935">
        <w:t>l valor catastral</w:t>
      </w:r>
      <w:r>
        <w:t xml:space="preserve"> de la vivienda y ese será </w:t>
      </w:r>
      <w:proofErr w:type="gramStart"/>
      <w:r>
        <w:t xml:space="preserve">el importe </w:t>
      </w:r>
      <w:r w:rsidR="00032A28">
        <w:t>total</w:t>
      </w:r>
      <w:r w:rsidR="00064CF4">
        <w:t xml:space="preserve"> a pagar</w:t>
      </w:r>
      <w:proofErr w:type="gramEnd"/>
      <w:r w:rsidR="00064CF4">
        <w:t xml:space="preserve"> </w:t>
      </w:r>
      <w:r w:rsidR="002C3227">
        <w:t>(</w:t>
      </w:r>
      <w:r w:rsidR="00FB7A8D">
        <w:t xml:space="preserve">o </w:t>
      </w:r>
      <w:r w:rsidR="00064CF4">
        <w:t xml:space="preserve">el </w:t>
      </w:r>
      <w:r w:rsidR="005A6CDC" w:rsidRPr="005A6CDC">
        <w:t>1,1</w:t>
      </w:r>
      <w:r w:rsidR="005A6CDC">
        <w:t>%</w:t>
      </w:r>
      <w:r w:rsidR="005A6CDC" w:rsidRPr="005A6CDC">
        <w:t xml:space="preserve"> para las viviendas cuyo valor catastral haya sido revisado o modificado con posterioridad </w:t>
      </w:r>
      <w:r w:rsidR="005A6CDC">
        <w:t>en los últimos 10 años)</w:t>
      </w:r>
      <w:r w:rsidR="00FB7A8D">
        <w:t xml:space="preserve">. </w:t>
      </w:r>
      <w:r w:rsidR="00C942B4">
        <w:t>Por ejemplo, si tenemos una vivienda cuyo valor catastral asciende a los 75.000€, el pago</w:t>
      </w:r>
      <w:r w:rsidR="00A1301E">
        <w:t xml:space="preserve"> de esta renta será de</w:t>
      </w:r>
      <w:r w:rsidR="00B2123B">
        <w:t xml:space="preserve"> 1.500€ si le aplicamos el 2% o de</w:t>
      </w:r>
      <w:r w:rsidR="00A1301E">
        <w:t xml:space="preserve"> 825€</w:t>
      </w:r>
      <w:r w:rsidR="00B2123B">
        <w:t xml:space="preserve"> en el caso de aplicarle el 1,1%</w:t>
      </w:r>
      <w:r w:rsidR="00A1301E">
        <w:t>.</w:t>
      </w:r>
    </w:p>
    <w:p w14:paraId="120EED23" w14:textId="77777777" w:rsidR="00BC3F40" w:rsidRDefault="00BC3F40" w:rsidP="00A8221C">
      <w:pPr>
        <w:suppressAutoHyphens w:val="0"/>
        <w:spacing w:line="240" w:lineRule="auto"/>
        <w:ind w:leftChars="0" w:left="0" w:firstLineChars="0" w:firstLine="0"/>
        <w:jc w:val="both"/>
        <w:textDirection w:val="lrTb"/>
        <w:textAlignment w:val="auto"/>
        <w:outlineLvl w:val="9"/>
      </w:pPr>
    </w:p>
    <w:p w14:paraId="214BBBEF" w14:textId="1E308F43" w:rsidR="00A079C6" w:rsidRDefault="00BC3F40" w:rsidP="3582431F">
      <w:pPr>
        <w:suppressAutoHyphens w:val="0"/>
        <w:spacing w:line="240" w:lineRule="auto"/>
        <w:ind w:leftChars="0" w:left="0" w:firstLineChars="0" w:firstLine="0"/>
        <w:jc w:val="both"/>
        <w:textDirection w:val="lrTb"/>
        <w:textAlignment w:val="auto"/>
      </w:pPr>
      <w:r>
        <w:t xml:space="preserve">Sin embargo, cuando utilicemos esta vivienda con un fin lucrativo, es decir, </w:t>
      </w:r>
      <w:r w:rsidR="00FA096F" w:rsidRPr="00D3625C">
        <w:rPr>
          <w:b/>
          <w:bCs/>
        </w:rPr>
        <w:t>si la ten</w:t>
      </w:r>
      <w:r w:rsidR="007A1D25" w:rsidRPr="00D3625C">
        <w:rPr>
          <w:b/>
          <w:bCs/>
        </w:rPr>
        <w:t>emos</w:t>
      </w:r>
      <w:r w:rsidRPr="00D3625C">
        <w:rPr>
          <w:b/>
          <w:bCs/>
        </w:rPr>
        <w:t xml:space="preserve"> alquilada</w:t>
      </w:r>
      <w:r w:rsidR="007A1D25" w:rsidRPr="00D3625C">
        <w:rPr>
          <w:b/>
          <w:bCs/>
        </w:rPr>
        <w:t xml:space="preserve"> durante una parte del año</w:t>
      </w:r>
      <w:r w:rsidRPr="00D3625C">
        <w:rPr>
          <w:b/>
          <w:bCs/>
        </w:rPr>
        <w:t>,</w:t>
      </w:r>
      <w:r w:rsidR="007A1D25" w:rsidRPr="00D3625C">
        <w:rPr>
          <w:b/>
          <w:bCs/>
        </w:rPr>
        <w:t xml:space="preserve"> habrá que </w:t>
      </w:r>
      <w:proofErr w:type="gramStart"/>
      <w:r w:rsidR="007A1D25" w:rsidRPr="00D3625C">
        <w:rPr>
          <w:b/>
          <w:bCs/>
        </w:rPr>
        <w:t>declararla como</w:t>
      </w:r>
      <w:proofErr w:type="gramEnd"/>
      <w:r w:rsidR="007A1D25" w:rsidRPr="00D3625C">
        <w:rPr>
          <w:b/>
          <w:bCs/>
        </w:rPr>
        <w:t xml:space="preserve"> rendimientos de capital inmobiliario</w:t>
      </w:r>
      <w:r w:rsidR="007A1D25">
        <w:t xml:space="preserve"> y tributará en la base imponible general junto a los rendimientos del trabajo. Hay que destacar, igualmente, que los días que no esté alquilada pagaremos la imputación de rentas ya comentada en el punto anterior. La ventaja en estos casos es que, cuando alquilamos una vivienda podemos deducirnos los gastos asociados de </w:t>
      </w:r>
      <w:r w:rsidR="00DA2305">
        <w:t>la misma.</w:t>
      </w:r>
      <w:r w:rsidR="00C34698">
        <w:t xml:space="preserve"> Algunos de los gastos deducibles más comunes son los gastos de conservación y reparación para mantener el buen uso del inmueble: pint</w:t>
      </w:r>
      <w:r w:rsidR="00D3625C">
        <w:t>ura, mejora de las instalaciones, etc. así como otros tributos y recargos no estatales (como el IBI y las tasas de basura) o los gastos de la comunidad, por poner solo algunos ejemplos.</w:t>
      </w:r>
    </w:p>
    <w:p w14:paraId="530939FE" w14:textId="77777777" w:rsidR="001162AE" w:rsidRDefault="001162AE" w:rsidP="00D9275B">
      <w:pPr>
        <w:ind w:leftChars="0" w:left="0" w:firstLineChars="0" w:firstLine="0"/>
        <w:jc w:val="both"/>
      </w:pPr>
    </w:p>
    <w:p w14:paraId="530939FF" w14:textId="053CE122" w:rsidR="001162AE" w:rsidRDefault="00CD5608">
      <w:pPr>
        <w:ind w:left="0" w:hanging="2"/>
        <w:jc w:val="both"/>
      </w:pPr>
      <w:r>
        <w:t>“</w:t>
      </w:r>
      <w:r w:rsidR="00B21591">
        <w:rPr>
          <w:i/>
        </w:rPr>
        <w:t xml:space="preserve">Es importante saber cómo declarar correctamente nuestras residencias en la declaración de la renta, ya sean para uso personal o </w:t>
      </w:r>
      <w:r w:rsidR="005C344C">
        <w:rPr>
          <w:i/>
        </w:rPr>
        <w:t xml:space="preserve">si las tenemos alquiladas. En el caso de declararlas de manera errónea, nos enfrentamos a </w:t>
      </w:r>
      <w:r w:rsidR="005C344C" w:rsidRPr="0778BD82">
        <w:rPr>
          <w:i/>
          <w:iCs/>
        </w:rPr>
        <w:t>pagos de intereses de demora</w:t>
      </w:r>
      <w:r w:rsidR="005C344C">
        <w:rPr>
          <w:i/>
        </w:rPr>
        <w:t xml:space="preserve"> o incluso a un </w:t>
      </w:r>
      <w:r w:rsidR="005C344C" w:rsidRPr="0778BD82">
        <w:rPr>
          <w:i/>
          <w:iCs/>
        </w:rPr>
        <w:t>procedimiento</w:t>
      </w:r>
      <w:r w:rsidR="005C344C">
        <w:rPr>
          <w:i/>
        </w:rPr>
        <w:t xml:space="preserve"> sancionador por parte de Hacienda</w:t>
      </w:r>
      <w:r>
        <w:t xml:space="preserve">” afirma Enrique García, CEO y </w:t>
      </w:r>
      <w:r w:rsidR="00731915">
        <w:t>cof</w:t>
      </w:r>
      <w:r>
        <w:t>undador de TaxDown</w:t>
      </w:r>
      <w:r w:rsidR="00B21591">
        <w:t>.</w:t>
      </w:r>
    </w:p>
    <w:p w14:paraId="76FAA77B" w14:textId="77777777" w:rsidR="008C2BD5" w:rsidRDefault="008C2BD5">
      <w:pPr>
        <w:ind w:left="0" w:hanging="2"/>
        <w:jc w:val="both"/>
      </w:pPr>
    </w:p>
    <w:p w14:paraId="3A727210" w14:textId="77777777" w:rsidR="004105AC" w:rsidRDefault="004105AC">
      <w:pPr>
        <w:ind w:left="0" w:hanging="2"/>
        <w:jc w:val="both"/>
      </w:pPr>
    </w:p>
    <w:p w14:paraId="53093A02" w14:textId="77777777" w:rsidR="001162AE" w:rsidRDefault="00CD5608">
      <w:pPr>
        <w:ind w:left="0" w:hanging="2"/>
        <w:rPr>
          <w:color w:val="999999"/>
        </w:rPr>
      </w:pPr>
      <w:r>
        <w:rPr>
          <w:b/>
          <w:i/>
          <w:color w:val="999999"/>
        </w:rPr>
        <w:t>Sobre TaxDown</w:t>
      </w:r>
    </w:p>
    <w:p w14:paraId="53093A03" w14:textId="77777777" w:rsidR="001162AE" w:rsidRDefault="001162AE">
      <w:pPr>
        <w:ind w:left="0" w:hanging="2"/>
        <w:rPr>
          <w:color w:val="999999"/>
          <w:u w:val="single"/>
        </w:rPr>
      </w:pPr>
    </w:p>
    <w:p w14:paraId="53093A04" w14:textId="77777777" w:rsidR="001162AE" w:rsidRDefault="00CD5608">
      <w:pPr>
        <w:spacing w:after="140"/>
        <w:ind w:left="0" w:hanging="2"/>
        <w:jc w:val="both"/>
        <w:rPr>
          <w:i/>
        </w:rPr>
      </w:pPr>
      <w:r>
        <w:rPr>
          <w:i/>
        </w:rPr>
        <w:t>TaxDown es la alternativa inteligente para la renta. Somos una compañía española que ha revolucionado la asesoría fiscal, poniendo en el mercado un servicio digital pionero que permite realizar la declaración de la renta, de forma sencilla, garantizando al contribuyente el mejor resultado.</w:t>
      </w:r>
    </w:p>
    <w:p w14:paraId="53093A05" w14:textId="48451FE9" w:rsidR="001162AE" w:rsidRDefault="00CD5608">
      <w:pPr>
        <w:spacing w:after="140"/>
        <w:ind w:left="0" w:hanging="2"/>
        <w:jc w:val="both"/>
        <w:rPr>
          <w:rFonts w:ascii="Arial" w:eastAsia="Arial" w:hAnsi="Arial" w:cs="Arial"/>
          <w:b/>
          <w:sz w:val="20"/>
          <w:szCs w:val="20"/>
        </w:rPr>
      </w:pPr>
      <w:r>
        <w:rPr>
          <w:i/>
        </w:rPr>
        <w:t>En TaxDown presentamos cientos de miles de declaraciones bien hechas cada año a través de nuestra propia plataforma</w:t>
      </w:r>
      <w:r w:rsidR="006E026B">
        <w:rPr>
          <w:i/>
        </w:rPr>
        <w:t xml:space="preserve"> y</w:t>
      </w:r>
      <w:r>
        <w:rPr>
          <w:i/>
        </w:rPr>
        <w:t xml:space="preserve"> ahorramos</w:t>
      </w:r>
      <w:r w:rsidR="006E026B">
        <w:rPr>
          <w:i/>
        </w:rPr>
        <w:t xml:space="preserve"> así</w:t>
      </w:r>
      <w:r>
        <w:rPr>
          <w:i/>
        </w:rPr>
        <w:t xml:space="preserve"> más de </w:t>
      </w:r>
      <w:r w:rsidR="00470919">
        <w:rPr>
          <w:i/>
        </w:rPr>
        <w:t>3</w:t>
      </w:r>
      <w:r w:rsidR="006E026B">
        <w:rPr>
          <w:i/>
        </w:rPr>
        <w:t>5</w:t>
      </w:r>
      <w:r>
        <w:rPr>
          <w:i/>
        </w:rPr>
        <w:t xml:space="preserve"> millones de euros </w:t>
      </w:r>
      <w:r w:rsidR="006E026B">
        <w:rPr>
          <w:i/>
        </w:rPr>
        <w:t>a los contribuyentes</w:t>
      </w:r>
      <w:r>
        <w:rPr>
          <w:i/>
        </w:rPr>
        <w:t xml:space="preserve"> de manera oficial, ya que somos colaboradores </w:t>
      </w:r>
      <w:r w:rsidR="006E026B">
        <w:rPr>
          <w:i/>
        </w:rPr>
        <w:t xml:space="preserve">sociales </w:t>
      </w:r>
      <w:r>
        <w:rPr>
          <w:i/>
        </w:rPr>
        <w:t>de la Agencia Tributaria.</w:t>
      </w:r>
    </w:p>
    <w:p w14:paraId="53093A06" w14:textId="77777777" w:rsidR="001162AE" w:rsidRDefault="001162AE">
      <w:pPr>
        <w:spacing w:after="140"/>
        <w:ind w:left="0" w:hanging="2"/>
        <w:jc w:val="both"/>
        <w:rPr>
          <w:i/>
        </w:rPr>
      </w:pPr>
    </w:p>
    <w:p w14:paraId="3144606C" w14:textId="77777777" w:rsidR="00D9275B" w:rsidRDefault="00D9275B" w:rsidP="00D9275B">
      <w:pPr>
        <w:ind w:left="0" w:hanging="2"/>
        <w:jc w:val="center"/>
        <w:rPr>
          <w:color w:val="70AD47"/>
          <w:sz w:val="24"/>
          <w:szCs w:val="24"/>
        </w:rPr>
      </w:pPr>
      <w:r>
        <w:rPr>
          <w:color w:val="70AD47"/>
          <w:sz w:val="24"/>
          <w:szCs w:val="24"/>
        </w:rPr>
        <w:t># # #</w:t>
      </w:r>
    </w:p>
    <w:p w14:paraId="53093A08" w14:textId="77777777" w:rsidR="001162AE" w:rsidRDefault="001162AE" w:rsidP="00D9275B">
      <w:pPr>
        <w:ind w:leftChars="0" w:left="0" w:firstLineChars="0" w:firstLine="0"/>
        <w:jc w:val="both"/>
      </w:pPr>
    </w:p>
    <w:p w14:paraId="53093A09" w14:textId="77777777" w:rsidR="001162AE" w:rsidRDefault="001162AE">
      <w:pPr>
        <w:ind w:left="0" w:hanging="2"/>
        <w:jc w:val="both"/>
      </w:pPr>
    </w:p>
    <w:p w14:paraId="53093A0A" w14:textId="77777777" w:rsidR="001162AE" w:rsidRDefault="00CD5608">
      <w:pPr>
        <w:ind w:left="0" w:hanging="2"/>
        <w:jc w:val="center"/>
        <w:rPr>
          <w:b/>
        </w:rPr>
      </w:pPr>
      <w:r>
        <w:rPr>
          <w:b/>
        </w:rPr>
        <w:t>Para más información o solicitud de entrevistas:</w:t>
      </w:r>
    </w:p>
    <w:p w14:paraId="53093A11" w14:textId="77777777" w:rsidR="001162AE" w:rsidRDefault="001162AE" w:rsidP="00D9275B">
      <w:pPr>
        <w:ind w:leftChars="0" w:left="0" w:firstLineChars="0" w:firstLine="0"/>
        <w:rPr>
          <w:color w:val="70AD47"/>
          <w:sz w:val="24"/>
          <w:szCs w:val="24"/>
        </w:rPr>
      </w:pPr>
    </w:p>
    <w:p w14:paraId="53093A12" w14:textId="77777777" w:rsidR="001162AE" w:rsidRPr="00E540D9" w:rsidRDefault="00CD5608">
      <w:pPr>
        <w:ind w:left="0" w:hanging="2"/>
        <w:jc w:val="center"/>
        <w:rPr>
          <w:lang w:val="en-US"/>
        </w:rPr>
      </w:pPr>
      <w:r w:rsidRPr="00E540D9">
        <w:rPr>
          <w:lang w:val="en-US"/>
        </w:rPr>
        <w:t xml:space="preserve">Esther </w:t>
      </w:r>
      <w:proofErr w:type="spellStart"/>
      <w:r w:rsidRPr="00E540D9">
        <w:rPr>
          <w:lang w:val="en-US"/>
        </w:rPr>
        <w:t>Maroto</w:t>
      </w:r>
      <w:proofErr w:type="spellEnd"/>
    </w:p>
    <w:p w14:paraId="53093A13" w14:textId="77777777" w:rsidR="001162AE" w:rsidRPr="00E540D9" w:rsidRDefault="00E51DF6">
      <w:pPr>
        <w:ind w:left="0" w:hanging="2"/>
        <w:jc w:val="center"/>
        <w:rPr>
          <w:lang w:val="en-US"/>
        </w:rPr>
      </w:pPr>
      <w:hyperlink r:id="rId14">
        <w:r w:rsidR="00CD5608" w:rsidRPr="00E540D9">
          <w:rPr>
            <w:color w:val="0563C1"/>
            <w:u w:val="single"/>
            <w:lang w:val="en-US"/>
          </w:rPr>
          <w:t>esther@taxdown.es</w:t>
        </w:r>
      </w:hyperlink>
    </w:p>
    <w:p w14:paraId="53093A14" w14:textId="77777777" w:rsidR="001162AE" w:rsidRPr="00E540D9" w:rsidRDefault="00CD5608">
      <w:pPr>
        <w:ind w:left="0" w:hanging="2"/>
        <w:jc w:val="center"/>
        <w:rPr>
          <w:rFonts w:ascii="Arial" w:eastAsia="Arial" w:hAnsi="Arial" w:cs="Arial"/>
          <w:b/>
          <w:sz w:val="20"/>
          <w:szCs w:val="20"/>
          <w:lang w:val="en-US"/>
        </w:rPr>
      </w:pPr>
      <w:r w:rsidRPr="00E540D9">
        <w:rPr>
          <w:lang w:val="en-US"/>
        </w:rPr>
        <w:t>678 341 700</w:t>
      </w:r>
    </w:p>
    <w:p w14:paraId="53093A15" w14:textId="77777777" w:rsidR="001162AE" w:rsidRPr="00E540D9" w:rsidRDefault="001162AE">
      <w:pPr>
        <w:ind w:left="0" w:hanging="2"/>
        <w:rPr>
          <w:rFonts w:ascii="Arial" w:eastAsia="Arial" w:hAnsi="Arial" w:cs="Arial"/>
          <w:sz w:val="20"/>
          <w:szCs w:val="20"/>
          <w:lang w:val="en-US"/>
        </w:rPr>
      </w:pPr>
    </w:p>
    <w:p w14:paraId="53093A16" w14:textId="77777777" w:rsidR="001162AE" w:rsidRPr="00E540D9" w:rsidRDefault="001162AE">
      <w:pPr>
        <w:ind w:left="0" w:hanging="2"/>
        <w:rPr>
          <w:rFonts w:ascii="Arial" w:eastAsia="Arial" w:hAnsi="Arial" w:cs="Arial"/>
          <w:sz w:val="20"/>
          <w:szCs w:val="20"/>
          <w:lang w:val="en-US"/>
        </w:rPr>
      </w:pPr>
    </w:p>
    <w:p w14:paraId="53093A18" w14:textId="77777777" w:rsidR="001162AE" w:rsidRPr="00E540D9" w:rsidRDefault="001162AE" w:rsidP="00D37D4D">
      <w:pPr>
        <w:ind w:leftChars="0" w:left="0" w:firstLineChars="0" w:firstLine="0"/>
        <w:rPr>
          <w:color w:val="70AD47"/>
          <w:lang w:val="en-US"/>
        </w:rPr>
      </w:pPr>
    </w:p>
    <w:sectPr w:rsidR="001162AE" w:rsidRPr="00E540D9">
      <w:headerReference w:type="even" r:id="rId15"/>
      <w:headerReference w:type="default" r:id="rId16"/>
      <w:footerReference w:type="even" r:id="rId17"/>
      <w:footerReference w:type="default" r:id="rId18"/>
      <w:headerReference w:type="first" r:id="rId19"/>
      <w:footerReference w:type="first" r:id="rId20"/>
      <w:pgSz w:w="11906" w:h="16838"/>
      <w:pgMar w:top="1985" w:right="1558"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E24C" w14:textId="77777777" w:rsidR="00FD13F2" w:rsidRDefault="00FD13F2">
      <w:pPr>
        <w:spacing w:line="240" w:lineRule="auto"/>
        <w:ind w:left="0" w:hanging="2"/>
      </w:pPr>
      <w:r>
        <w:separator/>
      </w:r>
    </w:p>
  </w:endnote>
  <w:endnote w:type="continuationSeparator" w:id="0">
    <w:p w14:paraId="32368165" w14:textId="77777777" w:rsidR="00FD13F2" w:rsidRDefault="00FD13F2">
      <w:pPr>
        <w:spacing w:line="240" w:lineRule="auto"/>
        <w:ind w:left="0" w:hanging="2"/>
      </w:pPr>
      <w:r>
        <w:continuationSeparator/>
      </w:r>
    </w:p>
  </w:endnote>
  <w:endnote w:type="continuationNotice" w:id="1">
    <w:p w14:paraId="042F2E6B" w14:textId="77777777" w:rsidR="00552296" w:rsidRDefault="00552296">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B"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C"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E"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5489" w14:textId="77777777" w:rsidR="00FD13F2" w:rsidRDefault="00FD13F2">
      <w:pPr>
        <w:spacing w:line="240" w:lineRule="auto"/>
        <w:ind w:left="0" w:hanging="2"/>
      </w:pPr>
      <w:r>
        <w:separator/>
      </w:r>
    </w:p>
  </w:footnote>
  <w:footnote w:type="continuationSeparator" w:id="0">
    <w:p w14:paraId="1A13B743" w14:textId="77777777" w:rsidR="00FD13F2" w:rsidRDefault="00FD13F2">
      <w:pPr>
        <w:spacing w:line="240" w:lineRule="auto"/>
        <w:ind w:left="0" w:hanging="2"/>
      </w:pPr>
      <w:r>
        <w:continuationSeparator/>
      </w:r>
    </w:p>
  </w:footnote>
  <w:footnote w:type="continuationNotice" w:id="1">
    <w:p w14:paraId="6620586B" w14:textId="77777777" w:rsidR="00552296" w:rsidRDefault="00552296">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9"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A" w14:textId="77777777" w:rsidR="001162AE" w:rsidRDefault="00CD5608">
    <w:pPr>
      <w:ind w:left="0" w:hanging="2"/>
    </w:pPr>
    <w:r>
      <w:rPr>
        <w:noProof/>
      </w:rPr>
      <w:drawing>
        <wp:anchor distT="0" distB="0" distL="114300" distR="114300" simplePos="0" relativeHeight="251658240" behindDoc="0" locked="0" layoutInCell="1" hidden="0" allowOverlap="1" wp14:anchorId="53093A1F" wp14:editId="53093A20">
          <wp:simplePos x="0" y="0"/>
          <wp:positionH relativeFrom="column">
            <wp:posOffset>4744720</wp:posOffset>
          </wp:positionH>
          <wp:positionV relativeFrom="paragraph">
            <wp:posOffset>-74923</wp:posOffset>
          </wp:positionV>
          <wp:extent cx="1590675" cy="25590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675" cy="2559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3A1D" w14:textId="77777777" w:rsidR="001162AE" w:rsidRDefault="001162A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313C"/>
    <w:multiLevelType w:val="multilevel"/>
    <w:tmpl w:val="F9F26AF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8473176"/>
    <w:multiLevelType w:val="hybridMultilevel"/>
    <w:tmpl w:val="8A7C2E18"/>
    <w:lvl w:ilvl="0" w:tplc="04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num w:numId="1" w16cid:durableId="1337999572">
    <w:abstractNumId w:val="0"/>
  </w:num>
  <w:num w:numId="2" w16cid:durableId="39389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AE"/>
    <w:rsid w:val="00021732"/>
    <w:rsid w:val="00032A28"/>
    <w:rsid w:val="00035F7B"/>
    <w:rsid w:val="00064CF4"/>
    <w:rsid w:val="00072213"/>
    <w:rsid w:val="00097801"/>
    <w:rsid w:val="000E2921"/>
    <w:rsid w:val="000F03C4"/>
    <w:rsid w:val="00102828"/>
    <w:rsid w:val="001162AE"/>
    <w:rsid w:val="001A5D07"/>
    <w:rsid w:val="001B0C5D"/>
    <w:rsid w:val="001C0697"/>
    <w:rsid w:val="001F2FA2"/>
    <w:rsid w:val="001F6681"/>
    <w:rsid w:val="00211169"/>
    <w:rsid w:val="002360B9"/>
    <w:rsid w:val="0024636B"/>
    <w:rsid w:val="00282839"/>
    <w:rsid w:val="00283793"/>
    <w:rsid w:val="002C3227"/>
    <w:rsid w:val="002C6D50"/>
    <w:rsid w:val="002F566B"/>
    <w:rsid w:val="003012B8"/>
    <w:rsid w:val="00351E3B"/>
    <w:rsid w:val="003B2809"/>
    <w:rsid w:val="003C2F90"/>
    <w:rsid w:val="003D3752"/>
    <w:rsid w:val="004007AC"/>
    <w:rsid w:val="004105AC"/>
    <w:rsid w:val="00410980"/>
    <w:rsid w:val="0041799E"/>
    <w:rsid w:val="00422DBA"/>
    <w:rsid w:val="0043024C"/>
    <w:rsid w:val="00432FFF"/>
    <w:rsid w:val="00470919"/>
    <w:rsid w:val="004866C4"/>
    <w:rsid w:val="00487DA1"/>
    <w:rsid w:val="004D72E4"/>
    <w:rsid w:val="004E14F5"/>
    <w:rsid w:val="004E616F"/>
    <w:rsid w:val="004F3403"/>
    <w:rsid w:val="004F3D25"/>
    <w:rsid w:val="00530F64"/>
    <w:rsid w:val="0053137D"/>
    <w:rsid w:val="005328A9"/>
    <w:rsid w:val="00545FE0"/>
    <w:rsid w:val="00552296"/>
    <w:rsid w:val="005557EB"/>
    <w:rsid w:val="00576E4B"/>
    <w:rsid w:val="005A6CDC"/>
    <w:rsid w:val="005C344C"/>
    <w:rsid w:val="006002BC"/>
    <w:rsid w:val="00601BF3"/>
    <w:rsid w:val="006373CE"/>
    <w:rsid w:val="00651F49"/>
    <w:rsid w:val="006860F2"/>
    <w:rsid w:val="006C0201"/>
    <w:rsid w:val="006C04C3"/>
    <w:rsid w:val="006C7697"/>
    <w:rsid w:val="006E026B"/>
    <w:rsid w:val="00706430"/>
    <w:rsid w:val="00710B5E"/>
    <w:rsid w:val="00730209"/>
    <w:rsid w:val="00731915"/>
    <w:rsid w:val="00794C0F"/>
    <w:rsid w:val="007A1D25"/>
    <w:rsid w:val="007A69A1"/>
    <w:rsid w:val="00805603"/>
    <w:rsid w:val="00871C28"/>
    <w:rsid w:val="008772D8"/>
    <w:rsid w:val="00887EDF"/>
    <w:rsid w:val="008C2BD5"/>
    <w:rsid w:val="008C6C58"/>
    <w:rsid w:val="008D7226"/>
    <w:rsid w:val="00910C1E"/>
    <w:rsid w:val="009118D7"/>
    <w:rsid w:val="0092067B"/>
    <w:rsid w:val="0093107F"/>
    <w:rsid w:val="00963935"/>
    <w:rsid w:val="009655E5"/>
    <w:rsid w:val="009865AC"/>
    <w:rsid w:val="009A4F60"/>
    <w:rsid w:val="00A079C6"/>
    <w:rsid w:val="00A1301E"/>
    <w:rsid w:val="00A226AD"/>
    <w:rsid w:val="00A3072A"/>
    <w:rsid w:val="00A8221C"/>
    <w:rsid w:val="00AA7C85"/>
    <w:rsid w:val="00AB3EFE"/>
    <w:rsid w:val="00AC0174"/>
    <w:rsid w:val="00AC32B9"/>
    <w:rsid w:val="00AC7172"/>
    <w:rsid w:val="00AE1D07"/>
    <w:rsid w:val="00B2123B"/>
    <w:rsid w:val="00B21591"/>
    <w:rsid w:val="00B43F55"/>
    <w:rsid w:val="00B52A90"/>
    <w:rsid w:val="00B73C07"/>
    <w:rsid w:val="00BC2BFC"/>
    <w:rsid w:val="00BC3F40"/>
    <w:rsid w:val="00BD08B9"/>
    <w:rsid w:val="00BE56E1"/>
    <w:rsid w:val="00C02E18"/>
    <w:rsid w:val="00C032EB"/>
    <w:rsid w:val="00C1562F"/>
    <w:rsid w:val="00C21374"/>
    <w:rsid w:val="00C25D4E"/>
    <w:rsid w:val="00C34698"/>
    <w:rsid w:val="00C507CE"/>
    <w:rsid w:val="00C942B4"/>
    <w:rsid w:val="00CC63C7"/>
    <w:rsid w:val="00CD5608"/>
    <w:rsid w:val="00D23ACC"/>
    <w:rsid w:val="00D35290"/>
    <w:rsid w:val="00D3625C"/>
    <w:rsid w:val="00D37D4D"/>
    <w:rsid w:val="00D507C7"/>
    <w:rsid w:val="00D54B88"/>
    <w:rsid w:val="00D656CC"/>
    <w:rsid w:val="00D9275B"/>
    <w:rsid w:val="00DA2305"/>
    <w:rsid w:val="00DA50D8"/>
    <w:rsid w:val="00DD2D75"/>
    <w:rsid w:val="00DE0461"/>
    <w:rsid w:val="00E51DF6"/>
    <w:rsid w:val="00E540D9"/>
    <w:rsid w:val="00E56694"/>
    <w:rsid w:val="00E956AF"/>
    <w:rsid w:val="00F42FD0"/>
    <w:rsid w:val="00FA096F"/>
    <w:rsid w:val="00FB7A8D"/>
    <w:rsid w:val="00FD13F2"/>
    <w:rsid w:val="01754A4C"/>
    <w:rsid w:val="02068D3D"/>
    <w:rsid w:val="056AC6DA"/>
    <w:rsid w:val="0778BD82"/>
    <w:rsid w:val="0997BE26"/>
    <w:rsid w:val="0D754147"/>
    <w:rsid w:val="0EA5762B"/>
    <w:rsid w:val="0F21E7D8"/>
    <w:rsid w:val="18107DF8"/>
    <w:rsid w:val="1AA8954F"/>
    <w:rsid w:val="1ABD6693"/>
    <w:rsid w:val="1C05FA86"/>
    <w:rsid w:val="1FA17C10"/>
    <w:rsid w:val="22399367"/>
    <w:rsid w:val="226690E9"/>
    <w:rsid w:val="250C5742"/>
    <w:rsid w:val="252BA5C2"/>
    <w:rsid w:val="27327A28"/>
    <w:rsid w:val="28BCDCE1"/>
    <w:rsid w:val="290928E3"/>
    <w:rsid w:val="2AB60245"/>
    <w:rsid w:val="2C2F6790"/>
    <w:rsid w:val="309A26FB"/>
    <w:rsid w:val="31F78C32"/>
    <w:rsid w:val="347AD245"/>
    <w:rsid w:val="3582431F"/>
    <w:rsid w:val="38435151"/>
    <w:rsid w:val="39A0B688"/>
    <w:rsid w:val="3AD11E3D"/>
    <w:rsid w:val="3E547389"/>
    <w:rsid w:val="40D49173"/>
    <w:rsid w:val="42F39217"/>
    <w:rsid w:val="45B8A6F0"/>
    <w:rsid w:val="46A3E4E5"/>
    <w:rsid w:val="46D11538"/>
    <w:rsid w:val="487DBBC9"/>
    <w:rsid w:val="49692C8F"/>
    <w:rsid w:val="49C32793"/>
    <w:rsid w:val="49DB2100"/>
    <w:rsid w:val="4A84902F"/>
    <w:rsid w:val="4E08184C"/>
    <w:rsid w:val="4E8F10D2"/>
    <w:rsid w:val="50FA2AA7"/>
    <w:rsid w:val="54046940"/>
    <w:rsid w:val="56380857"/>
    <w:rsid w:val="56C97E19"/>
    <w:rsid w:val="5768700C"/>
    <w:rsid w:val="57CCE84C"/>
    <w:rsid w:val="592A4D83"/>
    <w:rsid w:val="5A6F867C"/>
    <w:rsid w:val="5CF2CC8F"/>
    <w:rsid w:val="6426A77A"/>
    <w:rsid w:val="6645A81E"/>
    <w:rsid w:val="67DB01EA"/>
    <w:rsid w:val="6BCFD1D0"/>
    <w:rsid w:val="6BFCCF52"/>
    <w:rsid w:val="6D2D3707"/>
    <w:rsid w:val="6F070DEB"/>
    <w:rsid w:val="73D6FDD1"/>
    <w:rsid w:val="7ABE8CBA"/>
    <w:rsid w:val="7C3739CA"/>
    <w:rsid w:val="7DC19C8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0939ED"/>
  <w15:docId w15:val="{B195162D-DBCD-4FC2-B8E5-453B6090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uiPriority w:val="9"/>
    <w:semiHidden/>
    <w:unhideWhenUsed/>
    <w:qFormat/>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0">
    <w:name w:val="Table Normal100"/>
    <w:tblPr>
      <w:tblCellMar>
        <w:top w:w="0" w:type="dxa"/>
        <w:left w:w="0" w:type="dxa"/>
        <w:bottom w:w="0" w:type="dxa"/>
        <w:right w:w="0" w:type="dxa"/>
      </w:tblCellMar>
    </w:tblPr>
  </w:style>
  <w:style w:type="character" w:customStyle="1" w:styleId="Ttulo6Car">
    <w:name w:val="Título 6 Car"/>
    <w:rPr>
      <w:rFonts w:ascii="Times New Roman" w:eastAsia="Times New Roman" w:hAnsi="Times New Roman" w:cs="Times New Roman"/>
      <w:b/>
      <w:bCs/>
      <w:w w:val="100"/>
      <w:position w:val="-1"/>
      <w:sz w:val="15"/>
      <w:szCs w:val="15"/>
      <w:effect w:val="none"/>
      <w:vertAlign w:val="baseline"/>
      <w:cs w:val="0"/>
      <w:em w:val="none"/>
      <w:lang w:eastAsia="es-ES"/>
    </w:rPr>
  </w:style>
  <w:style w:type="character" w:styleId="Refdecomentario">
    <w:name w:val="annotation reference"/>
    <w:qFormat/>
    <w:rPr>
      <w:w w:val="100"/>
      <w:position w:val="-1"/>
      <w:sz w:val="16"/>
      <w:szCs w:val="16"/>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paragraph" w:styleId="Asuntodelcomentario">
    <w:name w:val="annotation subject"/>
    <w:basedOn w:val="Textocomentario"/>
    <w:next w:val="Textocomentario"/>
    <w:qFormat/>
    <w:pPr>
      <w:spacing w:after="0" w:line="240" w:lineRule="auto"/>
    </w:pPr>
    <w:rPr>
      <w:rFonts w:cs="Calibri"/>
      <w:b/>
      <w:bCs/>
      <w:sz w:val="20"/>
      <w:szCs w:val="20"/>
      <w:lang w:eastAsia="es-ES"/>
    </w:rPr>
  </w:style>
  <w:style w:type="paragraph" w:styleId="Textocomentario">
    <w:name w:val="annotation text"/>
    <w:basedOn w:val="Normal"/>
    <w:qFormat/>
    <w:pPr>
      <w:spacing w:after="200" w:line="276" w:lineRule="auto"/>
    </w:pPr>
    <w:rPr>
      <w:rFonts w:cs="Times New Roman"/>
      <w:lang w:eastAsia="en-US"/>
    </w:rPr>
  </w:style>
  <w:style w:type="character" w:customStyle="1" w:styleId="TextocomentarioCar">
    <w:name w:val="Texto comentario Car"/>
    <w:rPr>
      <w:w w:val="100"/>
      <w:position w:val="-1"/>
      <w:effect w:val="none"/>
      <w:vertAlign w:val="baseline"/>
      <w:cs w:val="0"/>
      <w:em w:val="none"/>
    </w:rPr>
  </w:style>
  <w:style w:type="character" w:customStyle="1" w:styleId="AsuntodelcomentarioCar">
    <w:name w:val="Asunto del comentario Car"/>
    <w:rPr>
      <w:rFonts w:ascii="Calibri" w:hAnsi="Calibri" w:cs="Calibri"/>
      <w:b/>
      <w:bCs/>
      <w:w w:val="100"/>
      <w:position w:val="-1"/>
      <w:sz w:val="20"/>
      <w:szCs w:val="20"/>
      <w:effect w:val="none"/>
      <w:vertAlign w:val="baseline"/>
      <w:cs w:val="0"/>
      <w:em w:val="none"/>
      <w:lang w:eastAsia="es-ES"/>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s-ES"/>
    </w:rPr>
  </w:style>
  <w:style w:type="paragraph" w:styleId="Encabezado">
    <w:name w:val="header"/>
    <w:basedOn w:val="Normal"/>
    <w:qFormat/>
    <w:pPr>
      <w:tabs>
        <w:tab w:val="center" w:pos="4252"/>
        <w:tab w:val="right" w:pos="8504"/>
      </w:tabs>
    </w:pPr>
  </w:style>
  <w:style w:type="character" w:customStyle="1" w:styleId="EncabezadoCar">
    <w:name w:val="Encabezado Car"/>
    <w:rPr>
      <w:rFonts w:ascii="Calibri" w:hAnsi="Calibri" w:cs="Calibri"/>
      <w:w w:val="100"/>
      <w:position w:val="-1"/>
      <w:effect w:val="none"/>
      <w:vertAlign w:val="baseline"/>
      <w:cs w:val="0"/>
      <w:em w:val="none"/>
      <w:lang w:eastAsia="es-ES"/>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styleId="Piedepgina">
    <w:name w:val="footer"/>
    <w:basedOn w:val="Normal"/>
    <w:qFormat/>
    <w:pPr>
      <w:tabs>
        <w:tab w:val="center" w:pos="4252"/>
        <w:tab w:val="right" w:pos="8504"/>
      </w:tabs>
    </w:pPr>
  </w:style>
  <w:style w:type="character" w:customStyle="1" w:styleId="PiedepginaCar">
    <w:name w:val="Pie de página Car"/>
    <w:rPr>
      <w:rFonts w:ascii="Calibri" w:hAnsi="Calibri" w:cs="Calibri"/>
      <w:w w:val="100"/>
      <w:position w:val="-1"/>
      <w:effect w:val="none"/>
      <w:vertAlign w:val="baseline"/>
      <w:cs w:val="0"/>
      <w:em w:val="none"/>
      <w:lang w:eastAsia="es-E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Prrafodelista">
    <w:name w:val="List Paragraph"/>
    <w:basedOn w:val="Normal"/>
    <w:pPr>
      <w:ind w:left="720"/>
      <w:contextualSpacing/>
    </w:pPr>
  </w:style>
  <w:style w:type="paragraph" w:customStyle="1" w:styleId="Textoindependiente1">
    <w:name w:val="Texto independiente1"/>
    <w:basedOn w:val="Normal"/>
    <w:pPr>
      <w:widowControl w:val="0"/>
      <w:suppressAutoHyphens w:val="0"/>
      <w:spacing w:after="140" w:line="288" w:lineRule="auto"/>
    </w:pPr>
    <w:rPr>
      <w:rFonts w:ascii="Liberation Serif" w:eastAsia="Times New Roman" w:hAnsi="Liberation Serif" w:cs="Liberation Serif"/>
      <w:color w:val="000000"/>
      <w:sz w:val="24"/>
      <w:szCs w:val="24"/>
      <w:lang w:bidi="hi-IN"/>
    </w:rPr>
  </w:style>
  <w:style w:type="character" w:customStyle="1" w:styleId="InternetLink">
    <w:name w:val="Internet Link"/>
    <w:qFormat/>
    <w:rPr>
      <w:color w:val="0000FF"/>
      <w:w w:val="100"/>
      <w:position w:val="-1"/>
      <w:u w:val="single"/>
      <w:effect w:val="none"/>
      <w:vertAlign w:val="baseline"/>
      <w:cs w:val="0"/>
      <w:em w:val="none"/>
    </w:rPr>
  </w:style>
  <w:style w:type="paragraph" w:customStyle="1" w:styleId="xmsonormal">
    <w:name w:val="x_msonormal"/>
    <w:basedOn w:val="Normal"/>
  </w:style>
  <w:style w:type="character" w:customStyle="1" w:styleId="TextocomentarioCar1">
    <w:name w:val="Texto comentario Car1"/>
    <w:rPr>
      <w:rFonts w:ascii="Calibri" w:hAnsi="Calibri" w:cs="Calibri"/>
      <w:w w:val="100"/>
      <w:position w:val="-1"/>
      <w:sz w:val="20"/>
      <w:szCs w:val="20"/>
      <w:effect w:val="none"/>
      <w:vertAlign w:val="baseline"/>
      <w:cs w:val="0"/>
      <w:em w:val="none"/>
      <w:lang w:eastAsia="es-ES"/>
    </w:rPr>
  </w:style>
  <w:style w:type="paragraph" w:customStyle="1" w:styleId="p1">
    <w:name w:val="p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5323D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normaltextrun">
    <w:name w:val="normaltextrun"/>
    <w:basedOn w:val="Fuentedeprrafopredeter"/>
    <w:rsid w:val="005323D4"/>
  </w:style>
  <w:style w:type="character" w:customStyle="1" w:styleId="eop">
    <w:name w:val="eop"/>
    <w:basedOn w:val="Fuentedeprrafopredeter"/>
    <w:rsid w:val="005323D4"/>
  </w:style>
  <w:style w:type="table" w:styleId="Tablaconcuadrcula">
    <w:name w:val="Table Grid"/>
    <w:basedOn w:val="Tablanormal"/>
    <w:uiPriority w:val="39"/>
    <w:rsid w:val="00A5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2FA2"/>
    <w:pPr>
      <w:ind w:firstLine="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4100">
      <w:bodyDiv w:val="1"/>
      <w:marLeft w:val="0"/>
      <w:marRight w:val="0"/>
      <w:marTop w:val="0"/>
      <w:marBottom w:val="0"/>
      <w:divBdr>
        <w:top w:val="none" w:sz="0" w:space="0" w:color="auto"/>
        <w:left w:val="none" w:sz="0" w:space="0" w:color="auto"/>
        <w:bottom w:val="none" w:sz="0" w:space="0" w:color="auto"/>
        <w:right w:val="none" w:sz="0" w:space="0" w:color="auto"/>
      </w:divBdr>
    </w:div>
    <w:div w:id="328486558">
      <w:bodyDiv w:val="1"/>
      <w:marLeft w:val="0"/>
      <w:marRight w:val="0"/>
      <w:marTop w:val="0"/>
      <w:marBottom w:val="0"/>
      <w:divBdr>
        <w:top w:val="none" w:sz="0" w:space="0" w:color="auto"/>
        <w:left w:val="none" w:sz="0" w:space="0" w:color="auto"/>
        <w:bottom w:val="none" w:sz="0" w:space="0" w:color="auto"/>
        <w:right w:val="none" w:sz="0" w:space="0" w:color="auto"/>
      </w:divBdr>
    </w:div>
    <w:div w:id="545143286">
      <w:bodyDiv w:val="1"/>
      <w:marLeft w:val="0"/>
      <w:marRight w:val="0"/>
      <w:marTop w:val="0"/>
      <w:marBottom w:val="0"/>
      <w:divBdr>
        <w:top w:val="none" w:sz="0" w:space="0" w:color="auto"/>
        <w:left w:val="none" w:sz="0" w:space="0" w:color="auto"/>
        <w:bottom w:val="none" w:sz="0" w:space="0" w:color="auto"/>
        <w:right w:val="none" w:sz="0" w:space="0" w:color="auto"/>
      </w:divBdr>
    </w:div>
    <w:div w:id="1001860071">
      <w:bodyDiv w:val="1"/>
      <w:marLeft w:val="0"/>
      <w:marRight w:val="0"/>
      <w:marTop w:val="0"/>
      <w:marBottom w:val="0"/>
      <w:divBdr>
        <w:top w:val="none" w:sz="0" w:space="0" w:color="auto"/>
        <w:left w:val="none" w:sz="0" w:space="0" w:color="auto"/>
        <w:bottom w:val="none" w:sz="0" w:space="0" w:color="auto"/>
        <w:right w:val="none" w:sz="0" w:space="0" w:color="auto"/>
      </w:divBdr>
    </w:div>
    <w:div w:id="1225333410">
      <w:bodyDiv w:val="1"/>
      <w:marLeft w:val="0"/>
      <w:marRight w:val="0"/>
      <w:marTop w:val="0"/>
      <w:marBottom w:val="0"/>
      <w:divBdr>
        <w:top w:val="none" w:sz="0" w:space="0" w:color="auto"/>
        <w:left w:val="none" w:sz="0" w:space="0" w:color="auto"/>
        <w:bottom w:val="none" w:sz="0" w:space="0" w:color="auto"/>
        <w:right w:val="none" w:sz="0" w:space="0" w:color="auto"/>
      </w:divBdr>
    </w:div>
    <w:div w:id="208641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act.php?id=BOE-A-2006-2076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de.agenciatributaria.gob.es/Sede/procedimientos/GZ69.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xdow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ther@taxdow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7Rm6itM8sfozuY54njusazDwsQ==">AMUW2mWvJ5AzBsEFfj6p/UAiSuSSmeDwBy24wgtHnQOCYdrtKl0SVxSz0pG0omFLNJ1dUdWLFUL/eTf53Hhort6Vz/x9jQ5qs5SZWTwHe6QlgJ9syxSKd+o=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68843AEFC899245B455BD4638032952" ma:contentTypeVersion="16" ma:contentTypeDescription="Crear nuevo documento." ma:contentTypeScope="" ma:versionID="04e93f02f669d8022594e21a9812e0aa">
  <xsd:schema xmlns:xsd="http://www.w3.org/2001/XMLSchema" xmlns:xs="http://www.w3.org/2001/XMLSchema" xmlns:p="http://schemas.microsoft.com/office/2006/metadata/properties" xmlns:ns2="527fe7ca-77e5-469c-a13a-35db0a1e7b4e" xmlns:ns3="ce184150-5fae-49ee-ae80-d9a2e113130d" targetNamespace="http://schemas.microsoft.com/office/2006/metadata/properties" ma:root="true" ma:fieldsID="7fe8eb28545417679e88c5d023364db6" ns2:_="" ns3:_="">
    <xsd:import namespace="527fe7ca-77e5-469c-a13a-35db0a1e7b4e"/>
    <xsd:import namespace="ce184150-5fae-49ee-ae80-d9a2e1131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fe7ca-77e5-469c-a13a-35db0a1e7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8bff6f-aa43-495f-a239-c811ededde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84150-5fae-49ee-ae80-d9a2e113130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0ee7b83-6c26-4cde-8996-9a599dfef455}" ma:internalName="TaxCatchAll" ma:showField="CatchAllData" ma:web="ce184150-5fae-49ee-ae80-d9a2e1131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7fe7ca-77e5-469c-a13a-35db0a1e7b4e">
      <Terms xmlns="http://schemas.microsoft.com/office/infopath/2007/PartnerControls"/>
    </lcf76f155ced4ddcb4097134ff3c332f>
    <TaxCatchAll xmlns="ce184150-5fae-49ee-ae80-d9a2e113130d" xsi:nil="true"/>
    <SharedWithUsers xmlns="ce184150-5fae-49ee-ae80-d9a2e113130d">
      <UserInfo>
        <DisplayName>Paula Schwarz García</DisplayName>
        <AccountId>105</AccountId>
        <AccountType/>
      </UserInfo>
      <UserInfo>
        <DisplayName>Héctor Jiménez Karar</DisplayName>
        <AccountId>144</AccountId>
        <AccountType/>
      </UserInfo>
      <UserInfo>
        <DisplayName>Sandra González Arias</DisplayName>
        <AccountId>241</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70F539-CE2B-4734-9019-BB7A78E76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fe7ca-77e5-469c-a13a-35db0a1e7b4e"/>
    <ds:schemaRef ds:uri="ce184150-5fae-49ee-ae80-d9a2e1131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CD751-02DF-4366-9748-B75113FE6EA5}">
  <ds:schemaRefs>
    <ds:schemaRef ds:uri="http://schemas.microsoft.com/sharepoint/v3/contenttype/forms"/>
  </ds:schemaRefs>
</ds:datastoreItem>
</file>

<file path=customXml/itemProps4.xml><?xml version="1.0" encoding="utf-8"?>
<ds:datastoreItem xmlns:ds="http://schemas.openxmlformats.org/officeDocument/2006/customXml" ds:itemID="{483BE5F1-E1F9-4B3B-858D-A1F90FFBD1A3}">
  <ds:schemaRefs>
    <ds:schemaRef ds:uri="http://schemas.microsoft.com/office/2006/metadata/properties"/>
    <ds:schemaRef ds:uri="http://schemas.microsoft.com/office/infopath/2007/PartnerControls"/>
    <ds:schemaRef ds:uri="527fe7ca-77e5-469c-a13a-35db0a1e7b4e"/>
    <ds:schemaRef ds:uri="ce184150-5fae-49ee-ae80-d9a2e11313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4887</Characters>
  <Application>Microsoft Office Word</Application>
  <DocSecurity>0</DocSecurity>
  <Lines>40</Lines>
  <Paragraphs>11</Paragraphs>
  <ScaleCrop>false</ScaleCrop>
  <Company/>
  <LinksUpToDate>false</LinksUpToDate>
  <CharactersWithSpaces>5764</CharactersWithSpaces>
  <SharedDoc>false</SharedDoc>
  <HLinks>
    <vt:vector size="24" baseType="variant">
      <vt:variant>
        <vt:i4>7929931</vt:i4>
      </vt:variant>
      <vt:variant>
        <vt:i4>9</vt:i4>
      </vt:variant>
      <vt:variant>
        <vt:i4>0</vt:i4>
      </vt:variant>
      <vt:variant>
        <vt:i4>5</vt:i4>
      </vt:variant>
      <vt:variant>
        <vt:lpwstr>mailto:esther@taxdown.es</vt:lpwstr>
      </vt:variant>
      <vt:variant>
        <vt:lpwstr/>
      </vt:variant>
      <vt:variant>
        <vt:i4>1310788</vt:i4>
      </vt:variant>
      <vt:variant>
        <vt:i4>6</vt:i4>
      </vt:variant>
      <vt:variant>
        <vt:i4>0</vt:i4>
      </vt:variant>
      <vt:variant>
        <vt:i4>5</vt:i4>
      </vt:variant>
      <vt:variant>
        <vt:lpwstr>https://www.boe.es/buscar/act.php?id=BOE-A-2006-20764</vt:lpwstr>
      </vt:variant>
      <vt:variant>
        <vt:lpwstr/>
      </vt:variant>
      <vt:variant>
        <vt:i4>5439581</vt:i4>
      </vt:variant>
      <vt:variant>
        <vt:i4>3</vt:i4>
      </vt:variant>
      <vt:variant>
        <vt:i4>0</vt:i4>
      </vt:variant>
      <vt:variant>
        <vt:i4>5</vt:i4>
      </vt:variant>
      <vt:variant>
        <vt:lpwstr>https://sede.agenciatributaria.gob.es/Sede/procedimientos/GZ69.shtml</vt:lpwstr>
      </vt:variant>
      <vt:variant>
        <vt:lpwstr/>
      </vt:variant>
      <vt:variant>
        <vt:i4>4063272</vt:i4>
      </vt:variant>
      <vt:variant>
        <vt:i4>0</vt:i4>
      </vt:variant>
      <vt:variant>
        <vt:i4>0</vt:i4>
      </vt:variant>
      <vt:variant>
        <vt:i4>5</vt:i4>
      </vt:variant>
      <vt:variant>
        <vt:lpwstr>https://taxdown.es/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Bermejo (Omnicom PR Group)</dc:creator>
  <cp:keywords/>
  <cp:lastModifiedBy>Esther Maroto Almarcha</cp:lastModifiedBy>
  <cp:revision>2</cp:revision>
  <dcterms:created xsi:type="dcterms:W3CDTF">2022-08-22T14:00:00Z</dcterms:created>
  <dcterms:modified xsi:type="dcterms:W3CDTF">2022-08-22T14:00:00Z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3082-11.2.0.10152</vt:lpwstr>
  </property>
  <property fmtid="{D5CDD505-2E9C-101B-9397-08002B2CF9AE}" pid="3" name="ContentTypeId">
    <vt:lpwstr>0x010100268843AEFC899245B455BD4638032952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